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80" w:lineRule="exact"/>
        <w:jc w:val="center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sz w:val="48"/>
          <w:szCs w:val="24"/>
          <w:lang w:val="zh-CN"/>
        </w:rPr>
      </w:pPr>
      <w:r>
        <w:rPr>
          <w:rFonts w:hint="eastAsia" w:ascii="方正小标宋简体" w:hAnsi="方正小标宋简体" w:eastAsia="方正小标宋简体"/>
          <w:sz w:val="48"/>
          <w:szCs w:val="24"/>
          <w:lang w:val="zh-CN"/>
        </w:rPr>
        <w:t>天津市艺术研究所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sz w:val="48"/>
          <w:szCs w:val="24"/>
          <w:lang w:val="zh-CN"/>
        </w:rPr>
      </w:pPr>
      <w:r>
        <w:rPr>
          <w:rFonts w:hint="eastAsia" w:ascii="方正小标宋简体" w:hAnsi="方正小标宋简体" w:eastAsia="方正小标宋简体"/>
          <w:sz w:val="48"/>
          <w:szCs w:val="24"/>
          <w:lang w:val="zh-CN"/>
        </w:rPr>
        <w:t>2024年单位预算</w:t>
      </w: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center"/>
        <w:rPr>
          <w:rFonts w:hint="eastAsia" w:ascii="黑体" w:hAnsi="黑体" w:eastAsia="黑体"/>
          <w:kern w:val="2"/>
          <w:sz w:val="24"/>
          <w:szCs w:val="24"/>
        </w:rPr>
        <w:sectPr>
          <w:pgSz w:w="12240" w:h="15840"/>
          <w:pgMar w:top="1440" w:right="1800" w:bottom="1440" w:left="1800" w:header="720" w:footer="720" w:gutter="0"/>
          <w:lnNumType w:countBy="0" w:distance="360"/>
          <w:cols w:space="720" w:num="1"/>
        </w:sectPr>
      </w:pPr>
    </w:p>
    <w:p>
      <w:pPr>
        <w:spacing w:line="600" w:lineRule="exact"/>
        <w:jc w:val="center"/>
        <w:rPr>
          <w:rFonts w:hint="eastAsia" w:ascii="黑体" w:hAnsi="黑体" w:eastAsia="黑体"/>
          <w:kern w:val="2"/>
          <w:sz w:val="44"/>
          <w:szCs w:val="24"/>
        </w:rPr>
      </w:pPr>
      <w:r>
        <w:rPr>
          <w:rFonts w:hint="eastAsia" w:ascii="黑体" w:hAnsi="黑体" w:eastAsia="黑体"/>
          <w:kern w:val="2"/>
          <w:sz w:val="44"/>
          <w:szCs w:val="24"/>
        </w:rPr>
        <w:t>目   录</w:t>
      </w:r>
    </w:p>
    <w:p>
      <w:pPr>
        <w:keepNext/>
        <w:keepLines/>
        <w:spacing w:line="600" w:lineRule="exact"/>
        <w:jc w:val="center"/>
        <w:rPr>
          <w:rFonts w:hint="eastAsia" w:ascii="黑体" w:hAnsi="黑体" w:eastAsia="黑体"/>
          <w:kern w:val="2"/>
          <w:sz w:val="30"/>
          <w:szCs w:val="24"/>
        </w:rPr>
      </w:pPr>
    </w:p>
    <w:p>
      <w:pPr>
        <w:spacing w:line="600" w:lineRule="exact"/>
        <w:jc w:val="both"/>
        <w:rPr>
          <w:rFonts w:hint="eastAsia" w:ascii="仿宋_GB2312" w:hAnsi="仿宋_GB2312" w:eastAsia="仿宋_GB2312"/>
          <w:b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b/>
          <w:kern w:val="2"/>
          <w:sz w:val="30"/>
          <w:szCs w:val="24"/>
        </w:rPr>
        <w:t>第一部分  概 况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一、主要职责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二、机构设置情况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b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b/>
          <w:kern w:val="2"/>
          <w:sz w:val="30"/>
          <w:szCs w:val="24"/>
        </w:rPr>
        <w:t>第二部分  2024年单位预算情况说明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一、关于收支总体情况表的说明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二、关于收入总体情况表的说明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三、关于支出总体情况表的说明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四、关于财政拨款收支总体情况表的说明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五、关于一般公共预算支出情况的说明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六、关于一般公共预算基本支出情况表的说明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七、关于一般公共预算“三公”经费支出情况表的说明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八、关于政府性基金预算支出情况表的说明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九、关于国有资本经营预算支出情况表的说明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十、其他重要事项的情况说明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b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b/>
          <w:kern w:val="2"/>
          <w:sz w:val="30"/>
          <w:szCs w:val="24"/>
        </w:rPr>
        <w:t>第三部分  名词解释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b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b/>
          <w:kern w:val="2"/>
          <w:sz w:val="30"/>
          <w:szCs w:val="24"/>
        </w:rPr>
        <w:t>第四部分  2024年单位预算表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一、收支总体情况表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二、收入总体情况表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三、支出总体情况表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  <w:sectPr>
          <w:footerReference r:id="rId3" w:type="default"/>
          <w:pgSz w:w="12240" w:h="15840"/>
          <w:pgMar w:top="1440" w:right="1800" w:bottom="1440" w:left="1800" w:header="720" w:footer="720" w:gutter="0"/>
          <w:lnNumType w:countBy="0" w:distance="360"/>
          <w:pgNumType w:start="1"/>
          <w:cols w:space="720" w:num="1"/>
        </w:sectPr>
      </w:pP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四、财政拨款收支总体情况表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五、一般公共预算支出情况表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六、一般公共预算基本支出情况表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七、一般公共预算“三公”经费支出情况表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八、政府性基金预算支出情况表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九、国有资本经营预算支出情况表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十、项目支出表</w:t>
      </w:r>
    </w:p>
    <w:p>
      <w:pPr>
        <w:spacing w:line="600" w:lineRule="exact"/>
        <w:jc w:val="both"/>
        <w:rPr>
          <w:rFonts w:hint="eastAsia" w:ascii="仿宋_GB2312" w:hAnsi="仿宋_GB2312" w:eastAsia="仿宋_GB2312"/>
          <w:kern w:val="2"/>
          <w:sz w:val="24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十一、关于空表的说明</w:t>
      </w:r>
      <w:r>
        <w:rPr>
          <w:rFonts w:hint="eastAsia" w:ascii="仿宋_GB2312" w:hAnsi="仿宋_GB2312" w:eastAsia="仿宋_GB2312"/>
          <w:kern w:val="2"/>
          <w:sz w:val="24"/>
          <w:szCs w:val="24"/>
        </w:rPr>
        <w:tab/>
      </w: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b/>
          <w:kern w:val="44"/>
          <w:sz w:val="24"/>
          <w:szCs w:val="24"/>
        </w:rPr>
        <w:sectPr>
          <w:footerReference r:id="rId4" w:type="default"/>
          <w:pgSz w:w="12240" w:h="15840"/>
          <w:pgMar w:top="1440" w:right="1800" w:bottom="1440" w:left="1800" w:header="720" w:footer="720" w:gutter="0"/>
          <w:lnNumType w:countBy="0" w:distance="360"/>
          <w:pgNumType w:start="1"/>
          <w:cols w:space="720" w:num="1"/>
        </w:sectPr>
      </w:pPr>
    </w:p>
    <w:p>
      <w:pPr>
        <w:spacing w:line="580" w:lineRule="exact"/>
        <w:jc w:val="center"/>
        <w:rPr>
          <w:rFonts w:hint="eastAsia" w:ascii="黑体" w:hAnsi="黑体" w:eastAsia="黑体"/>
          <w:kern w:val="2"/>
          <w:sz w:val="44"/>
          <w:szCs w:val="24"/>
          <w:lang w:val="zh-CN"/>
        </w:rPr>
      </w:pPr>
      <w:r>
        <w:rPr>
          <w:rFonts w:hint="eastAsia" w:ascii="方正小标宋简体" w:hAnsi="方正小标宋简体" w:eastAsia="方正小标宋简体"/>
          <w:b/>
          <w:kern w:val="44"/>
          <w:sz w:val="44"/>
          <w:szCs w:val="24"/>
        </w:rPr>
        <w:t>第一部分  概 况</w:t>
      </w:r>
    </w:p>
    <w:p>
      <w:pPr>
        <w:spacing w:line="580" w:lineRule="exact"/>
        <w:ind w:firstLine="480"/>
        <w:jc w:val="both"/>
        <w:rPr>
          <w:rFonts w:hint="default" w:eastAsia="Times New Roman"/>
          <w:kern w:val="2"/>
          <w:sz w:val="24"/>
          <w:szCs w:val="24"/>
          <w:lang w:val="zh-CN"/>
        </w:rPr>
      </w:pPr>
    </w:p>
    <w:p>
      <w:pPr>
        <w:pStyle w:val="3"/>
        <w:keepNext/>
        <w:keepLines/>
        <w:spacing w:before="260" w:after="260" w:line="600" w:lineRule="exact"/>
        <w:ind w:firstLine="602"/>
        <w:rPr>
          <w:rFonts w:hint="eastAsia" w:ascii="黑体" w:hAnsi="黑体" w:eastAsia="黑体"/>
          <w:b/>
          <w:sz w:val="30"/>
          <w:szCs w:val="24"/>
        </w:rPr>
      </w:pPr>
      <w:r>
        <w:rPr>
          <w:rFonts w:hint="eastAsia" w:ascii="黑体" w:hAnsi="黑体" w:eastAsia="黑体"/>
          <w:b/>
          <w:sz w:val="30"/>
          <w:szCs w:val="24"/>
        </w:rPr>
        <w:t>一、主要职责</w:t>
      </w:r>
    </w:p>
    <w:p>
      <w:pPr>
        <w:spacing w:line="580" w:lineRule="exact"/>
        <w:ind w:firstLine="600" w:firstLineChars="200"/>
        <w:rPr>
          <w:rFonts w:hint="default" w:ascii="MS Serif" w:eastAsia="Times New Roman"/>
          <w:kern w:val="2"/>
          <w:sz w:val="30"/>
          <w:szCs w:val="24"/>
        </w:rPr>
      </w:pPr>
      <w:r>
        <w:rPr>
          <w:rFonts w:hint="eastAsia" w:eastAsia="仿宋_GB2312"/>
          <w:sz w:val="30"/>
          <w:szCs w:val="24"/>
        </w:rPr>
        <w:t>天津市艺术研究所（天津市剧本创作中心、天津市非物质文化遗产保护中心）（下称：天津市艺术研究所）的主要职责是开展艺术理论研究、艺术学术书刊编辑、艺术咨询服务等工作；开展舞台艺术创作、剧本策划创作以及传统艺术整理发掘工作；承担非物质文化遗产挖掘整理保护的相关事务性工作。</w:t>
      </w:r>
    </w:p>
    <w:p>
      <w:pPr>
        <w:pStyle w:val="3"/>
        <w:keepNext/>
        <w:keepLines/>
        <w:spacing w:before="260" w:after="260" w:line="600" w:lineRule="exact"/>
        <w:ind w:firstLine="602"/>
        <w:rPr>
          <w:rFonts w:hint="eastAsia" w:ascii="黑体" w:hAnsi="黑体" w:eastAsia="黑体"/>
          <w:b/>
          <w:sz w:val="30"/>
          <w:szCs w:val="24"/>
        </w:rPr>
      </w:pPr>
      <w:r>
        <w:rPr>
          <w:rFonts w:hint="eastAsia" w:ascii="黑体" w:hAnsi="黑体" w:eastAsia="黑体"/>
          <w:b/>
          <w:sz w:val="30"/>
          <w:szCs w:val="24"/>
        </w:rPr>
        <w:t>二、机构设置情况</w:t>
      </w:r>
    </w:p>
    <w:p>
      <w:pPr>
        <w:spacing w:line="600" w:lineRule="exact"/>
        <w:ind w:firstLine="600" w:firstLineChars="200"/>
        <w:rPr>
          <w:rFonts w:hint="default" w:eastAsia="仿宋_GB2312"/>
          <w:sz w:val="30"/>
          <w:szCs w:val="24"/>
        </w:rPr>
      </w:pPr>
      <w:r>
        <w:rPr>
          <w:rFonts w:hint="eastAsia" w:eastAsia="仿宋_GB2312"/>
          <w:sz w:val="30"/>
          <w:szCs w:val="24"/>
        </w:rPr>
        <w:t>天津市艺术研究所内设</w:t>
      </w:r>
      <w:r>
        <w:rPr>
          <w:rFonts w:hint="default" w:eastAsia="仿宋_GB2312"/>
          <w:sz w:val="30"/>
          <w:szCs w:val="24"/>
        </w:rPr>
        <w:t>6</w:t>
      </w:r>
      <w:r>
        <w:rPr>
          <w:rFonts w:hint="eastAsia" w:eastAsia="仿宋_GB2312"/>
          <w:sz w:val="30"/>
          <w:szCs w:val="24"/>
        </w:rPr>
        <w:t>个职能部室，分别为艺术研究部、项目管理部、剧本创作策划部、非遗保护发展部、财务与后勤保障部及综合办公室。</w:t>
      </w:r>
    </w:p>
    <w:p>
      <w:pPr>
        <w:spacing w:line="600" w:lineRule="exact"/>
        <w:ind w:firstLine="600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600" w:lineRule="exact"/>
        <w:jc w:val="both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spacing w:line="360" w:lineRule="atLeast"/>
        <w:jc w:val="center"/>
        <w:rPr>
          <w:rFonts w:hint="eastAsia" w:ascii="黑体" w:hAnsi="黑体" w:eastAsia="黑体"/>
          <w:kern w:val="2"/>
          <w:sz w:val="2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b/>
          <w:kern w:val="44"/>
          <w:sz w:val="44"/>
          <w:szCs w:val="24"/>
        </w:rPr>
      </w:pPr>
      <w:r>
        <w:rPr>
          <w:rFonts w:hint="eastAsia" w:ascii="方正小标宋简体" w:hAnsi="方正小标宋简体" w:eastAsia="方正小标宋简体"/>
          <w:b/>
          <w:kern w:val="44"/>
          <w:sz w:val="44"/>
          <w:szCs w:val="24"/>
          <w:lang w:val="zh-CN"/>
        </w:rPr>
        <w:t xml:space="preserve">第二部分 </w:t>
      </w:r>
      <w:r>
        <w:rPr>
          <w:rFonts w:hint="eastAsia" w:ascii="方正小标宋简体" w:hAnsi="方正小标宋简体" w:eastAsia="方正小标宋简体"/>
          <w:b/>
          <w:kern w:val="44"/>
          <w:sz w:val="44"/>
          <w:szCs w:val="24"/>
        </w:rPr>
        <w:t xml:space="preserve"> 2024年单位预算情况说明</w:t>
      </w:r>
    </w:p>
    <w:p>
      <w:pPr>
        <w:spacing w:line="580" w:lineRule="exact"/>
        <w:ind w:firstLine="600"/>
        <w:jc w:val="center"/>
        <w:rPr>
          <w:rFonts w:hint="eastAsia" w:ascii="黑体" w:hAnsi="黑体" w:eastAsia="黑体"/>
          <w:kern w:val="2"/>
          <w:sz w:val="24"/>
          <w:szCs w:val="24"/>
        </w:rPr>
      </w:pP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一、关于收支总体情况表的说明</w:t>
      </w:r>
    </w:p>
    <w:p>
      <w:pPr>
        <w:spacing w:line="580" w:lineRule="exact"/>
        <w:ind w:firstLine="600"/>
        <w:jc w:val="both"/>
        <w:rPr>
          <w:rFonts w:hint="eastAsia" w:ascii="仿宋" w:hAnsi="仿宋" w:eastAsia="仿宋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按照综合预算的原则，天津市艺术研究所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所有收入和支出均纳入单位预算管理。收入包括：一般公共预算拨款收入</w:t>
      </w:r>
      <w:r>
        <w:rPr>
          <w:rFonts w:hint="default" w:eastAsia="仿宋_GB2312"/>
          <w:kern w:val="2"/>
          <w:sz w:val="30"/>
          <w:szCs w:val="24"/>
          <w:lang w:val="zh-CN"/>
        </w:rPr>
        <w:t>1,742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、政府性基金预算拨款收入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、国有资本经营预算拨款收入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、财政专户管理资金收入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、事业收入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、事业单位经营收入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、上级补助收入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、附属单位上缴收入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、其他收入</w:t>
      </w:r>
      <w:r>
        <w:rPr>
          <w:rFonts w:hint="default" w:eastAsia="仿宋_GB2312"/>
          <w:kern w:val="2"/>
          <w:sz w:val="30"/>
          <w:szCs w:val="24"/>
          <w:lang w:val="zh-CN"/>
        </w:rPr>
        <w:t>6.5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、上年结转结余</w:t>
      </w:r>
      <w:r>
        <w:rPr>
          <w:rFonts w:hint="default" w:eastAsia="仿宋_GB2312"/>
          <w:kern w:val="2"/>
          <w:sz w:val="30"/>
          <w:szCs w:val="24"/>
          <w:lang w:val="zh-CN"/>
        </w:rPr>
        <w:t>217.4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；支出包括：教育支出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、文化旅游体育与传媒支出</w:t>
      </w:r>
      <w:r>
        <w:rPr>
          <w:rFonts w:hint="default" w:eastAsia="仿宋_GB2312"/>
          <w:kern w:val="2"/>
          <w:sz w:val="30"/>
          <w:szCs w:val="24"/>
          <w:lang w:val="zh-CN"/>
        </w:rPr>
        <w:t>1,719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、社会保障和就业支出</w:t>
      </w:r>
      <w:r>
        <w:rPr>
          <w:rFonts w:hint="default" w:eastAsia="仿宋_GB2312"/>
          <w:kern w:val="2"/>
          <w:sz w:val="30"/>
          <w:szCs w:val="24"/>
          <w:lang w:val="zh-CN"/>
        </w:rPr>
        <w:t>92.7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、卫生健康支出</w:t>
      </w:r>
      <w:r>
        <w:rPr>
          <w:rFonts w:hint="default" w:eastAsia="仿宋_GB2312"/>
          <w:kern w:val="2"/>
          <w:sz w:val="30"/>
          <w:szCs w:val="24"/>
          <w:lang w:val="zh-CN"/>
        </w:rPr>
        <w:t>68.1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、债务付息支出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  <w:lang w:val="en"/>
        </w:rPr>
        <w:t>，年终结转结余</w:t>
      </w:r>
      <w:r>
        <w:rPr>
          <w:rFonts w:hint="default" w:eastAsia="仿宋_GB2312"/>
          <w:kern w:val="2"/>
          <w:sz w:val="30"/>
          <w:szCs w:val="24"/>
          <w:lang w:val="zh-CN"/>
        </w:rPr>
        <w:t>86.1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万元。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天津市艺术研究所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年收支总预算</w:t>
      </w:r>
      <w:r>
        <w:rPr>
          <w:rFonts w:hint="default" w:eastAsia="仿宋_GB2312"/>
          <w:kern w:val="2"/>
          <w:sz w:val="30"/>
          <w:szCs w:val="24"/>
          <w:lang w:val="zh-CN"/>
        </w:rPr>
        <w:t>1,965.9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二、关于收入总体情况表的说明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天津市艺术研究所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年单位预算收入</w:t>
      </w:r>
      <w:r>
        <w:rPr>
          <w:rFonts w:hint="default" w:eastAsia="仿宋_GB2312"/>
          <w:kern w:val="2"/>
          <w:sz w:val="30"/>
          <w:szCs w:val="24"/>
          <w:lang w:val="zh-CN"/>
        </w:rPr>
        <w:t>1,965.9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年预算相比增加</w:t>
      </w:r>
      <w:r>
        <w:rPr>
          <w:rFonts w:hint="default" w:eastAsia="仿宋_GB2312"/>
          <w:kern w:val="2"/>
          <w:sz w:val="30"/>
          <w:szCs w:val="24"/>
          <w:lang w:val="zh-CN"/>
        </w:rPr>
        <w:t>7.7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万元，主</w:t>
      </w:r>
      <w:r>
        <w:rPr>
          <w:rFonts w:hint="eastAsia" w:eastAsia="仿宋_GB2312"/>
          <w:kern w:val="2"/>
          <w:sz w:val="30"/>
          <w:szCs w:val="24"/>
          <w:lang w:val="zh-CN"/>
        </w:rPr>
        <w:t>要原因是</w:t>
      </w:r>
      <w:r>
        <w:rPr>
          <w:rFonts w:hint="eastAsia" w:eastAsia="仿宋_GB2312"/>
          <w:kern w:val="2"/>
          <w:sz w:val="30"/>
          <w:szCs w:val="24"/>
          <w:lang w:val="en-US" w:eastAsia="zh-CN"/>
        </w:rPr>
        <w:t>2024年</w:t>
      </w:r>
      <w:r>
        <w:rPr>
          <w:rFonts w:hint="eastAsia" w:eastAsia="仿宋_GB2312"/>
          <w:kern w:val="2"/>
          <w:sz w:val="30"/>
          <w:szCs w:val="24"/>
          <w:lang w:val="zh-CN"/>
        </w:rPr>
        <w:t>收入总体小幅增加。其中：上年结转结余</w:t>
      </w:r>
      <w:r>
        <w:rPr>
          <w:rFonts w:hint="default" w:eastAsia="仿宋_GB2312"/>
          <w:kern w:val="2"/>
          <w:sz w:val="30"/>
          <w:szCs w:val="24"/>
          <w:lang w:val="zh-CN"/>
        </w:rPr>
        <w:t>217.4</w:t>
      </w:r>
      <w:r>
        <w:rPr>
          <w:rFonts w:hint="eastAsia" w:eastAsia="仿宋_GB2312"/>
          <w:kern w:val="2"/>
          <w:sz w:val="30"/>
          <w:szCs w:val="24"/>
          <w:lang w:val="zh-CN"/>
        </w:rPr>
        <w:t>万元，占</w:t>
      </w:r>
      <w:r>
        <w:rPr>
          <w:rFonts w:hint="default" w:eastAsia="仿宋_GB2312"/>
          <w:kern w:val="2"/>
          <w:sz w:val="30"/>
          <w:szCs w:val="24"/>
          <w:lang w:val="zh-CN"/>
        </w:rPr>
        <w:t>11.1%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；一般公共预算</w:t>
      </w:r>
      <w:r>
        <w:rPr>
          <w:rFonts w:hint="default" w:eastAsia="仿宋_GB2312"/>
          <w:kern w:val="2"/>
          <w:sz w:val="30"/>
          <w:szCs w:val="24"/>
          <w:lang w:val="zh-CN"/>
        </w:rPr>
        <w:t>1,742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88.6%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；政府性基金预算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；国有资本经营预算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；财政专户管理资金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；事业收入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；事业单位经营收入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；上级补助收入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；附属单位上缴收入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；其他收入</w:t>
      </w:r>
      <w:r>
        <w:rPr>
          <w:rFonts w:hint="default" w:eastAsia="仿宋_GB2312"/>
          <w:kern w:val="2"/>
          <w:sz w:val="30"/>
          <w:szCs w:val="24"/>
          <w:lang w:val="zh-CN"/>
        </w:rPr>
        <w:t>6.5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0.3%</w:t>
      </w:r>
      <w:r>
        <w:rPr>
          <w:rFonts w:hint="eastAsia" w:ascii="仿宋_GB2312" w:hAnsi="仿宋_GB2312" w:eastAsia="仿宋_GB2312"/>
          <w:kern w:val="2"/>
          <w:sz w:val="30"/>
          <w:szCs w:val="24"/>
        </w:rPr>
        <w:t>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三、关于支出总体情况表的说明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天津市艺术研究所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年支出预算</w:t>
      </w:r>
      <w:r>
        <w:rPr>
          <w:rFonts w:hint="default" w:eastAsia="仿宋_GB2312"/>
          <w:kern w:val="2"/>
          <w:sz w:val="30"/>
          <w:szCs w:val="24"/>
          <w:lang w:val="zh-CN"/>
        </w:rPr>
        <w:t>1,879.8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年预算相比增加</w:t>
      </w:r>
      <w:r>
        <w:rPr>
          <w:rFonts w:hint="default" w:eastAsia="仿宋_GB2312"/>
          <w:kern w:val="2"/>
          <w:sz w:val="30"/>
          <w:szCs w:val="24"/>
          <w:lang w:val="zh-CN"/>
        </w:rPr>
        <w:t>29.9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</w:t>
      </w:r>
      <w:r>
        <w:rPr>
          <w:rFonts w:hint="eastAsia" w:eastAsia="仿宋_GB2312"/>
          <w:kern w:val="2"/>
          <w:sz w:val="30"/>
          <w:szCs w:val="24"/>
          <w:lang w:val="zh-CN"/>
        </w:rPr>
        <w:t>是</w:t>
      </w:r>
      <w:r>
        <w:rPr>
          <w:rFonts w:hint="eastAsia" w:eastAsia="仿宋_GB2312"/>
          <w:kern w:val="2"/>
          <w:sz w:val="30"/>
          <w:szCs w:val="24"/>
          <w:lang w:val="en-US" w:eastAsia="zh-CN"/>
        </w:rPr>
        <w:t>2024年</w:t>
      </w:r>
      <w:r>
        <w:rPr>
          <w:rFonts w:hint="eastAsia" w:eastAsia="仿宋_GB2312"/>
          <w:kern w:val="2"/>
          <w:sz w:val="30"/>
          <w:szCs w:val="24"/>
          <w:lang w:val="zh-CN"/>
        </w:rPr>
        <w:t>收入总体小幅增加</w:t>
      </w:r>
      <w:r>
        <w:rPr>
          <w:rFonts w:hint="eastAsia" w:eastAsia="仿宋_GB2312"/>
          <w:kern w:val="2"/>
          <w:sz w:val="30"/>
          <w:szCs w:val="24"/>
          <w:lang w:val="zh-CN" w:eastAsia="zh-CN"/>
        </w:rPr>
        <w:t>，相应</w:t>
      </w:r>
      <w:bookmarkStart w:id="0" w:name="_GoBack"/>
      <w:bookmarkEnd w:id="0"/>
      <w:r>
        <w:rPr>
          <w:rFonts w:hint="eastAsia" w:eastAsia="仿宋_GB2312"/>
          <w:kern w:val="2"/>
          <w:sz w:val="30"/>
          <w:szCs w:val="24"/>
          <w:lang w:val="zh-CN"/>
        </w:rPr>
        <w:t>支出总体小幅增加。其中：基本支出</w:t>
      </w:r>
      <w:r>
        <w:rPr>
          <w:rFonts w:hint="default" w:eastAsia="仿宋_GB2312"/>
          <w:kern w:val="2"/>
          <w:sz w:val="30"/>
          <w:szCs w:val="24"/>
          <w:lang w:val="zh-CN"/>
        </w:rPr>
        <w:t>1,139.4</w:t>
      </w:r>
      <w:r>
        <w:rPr>
          <w:rFonts w:hint="eastAsia" w:eastAsia="仿宋_GB2312"/>
          <w:kern w:val="2"/>
          <w:sz w:val="30"/>
          <w:szCs w:val="24"/>
          <w:lang w:val="zh-CN"/>
        </w:rPr>
        <w:t>万元，占</w:t>
      </w:r>
      <w:r>
        <w:rPr>
          <w:rFonts w:hint="default" w:eastAsia="仿宋_GB2312"/>
          <w:kern w:val="2"/>
          <w:sz w:val="30"/>
          <w:szCs w:val="24"/>
          <w:lang w:val="zh-CN"/>
        </w:rPr>
        <w:t>60.6%</w:t>
      </w:r>
      <w:r>
        <w:rPr>
          <w:rFonts w:hint="eastAsia" w:eastAsia="仿宋_GB2312"/>
          <w:kern w:val="2"/>
          <w:sz w:val="30"/>
          <w:szCs w:val="24"/>
          <w:lang w:val="zh-CN"/>
        </w:rPr>
        <w:t>；项目支出</w:t>
      </w:r>
      <w:r>
        <w:rPr>
          <w:rFonts w:hint="default" w:eastAsia="仿宋_GB2312"/>
          <w:kern w:val="2"/>
          <w:sz w:val="30"/>
          <w:szCs w:val="24"/>
          <w:lang w:val="zh-CN"/>
        </w:rPr>
        <w:t>740.4</w:t>
      </w:r>
      <w:r>
        <w:rPr>
          <w:rFonts w:hint="eastAsia" w:eastAsia="仿宋_GB2312"/>
          <w:kern w:val="2"/>
          <w:sz w:val="30"/>
          <w:szCs w:val="24"/>
          <w:lang w:val="zh-CN"/>
        </w:rPr>
        <w:t>万元，占</w:t>
      </w:r>
      <w:r>
        <w:rPr>
          <w:rFonts w:hint="default" w:eastAsia="仿宋_GB2312"/>
          <w:kern w:val="2"/>
          <w:sz w:val="30"/>
          <w:szCs w:val="24"/>
          <w:lang w:val="zh-CN"/>
        </w:rPr>
        <w:t>39.4%</w:t>
      </w:r>
      <w:r>
        <w:rPr>
          <w:rFonts w:hint="eastAsia" w:eastAsia="仿宋_GB2312"/>
          <w:kern w:val="2"/>
          <w:sz w:val="30"/>
          <w:szCs w:val="24"/>
          <w:lang w:val="zh-CN"/>
        </w:rPr>
        <w:t>；事业单位经营支出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eastAsia="仿宋_GB2312"/>
          <w:kern w:val="2"/>
          <w:sz w:val="30"/>
          <w:szCs w:val="24"/>
          <w:lang w:val="zh-CN"/>
        </w:rPr>
        <w:t>万元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；上缴上级支出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；对附属单位补助支出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万元，占</w:t>
      </w:r>
      <w:r>
        <w:rPr>
          <w:rFonts w:hint="default" w:eastAsia="仿宋_GB2312"/>
          <w:kern w:val="2"/>
          <w:sz w:val="30"/>
          <w:szCs w:val="24"/>
          <w:lang w:val="zh-CN"/>
        </w:rPr>
        <w:t>0.0%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四、关于财政拨款收支总体情况表的说明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天津市艺术研究所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年财政拨款收入预算</w:t>
      </w:r>
      <w:r>
        <w:rPr>
          <w:rFonts w:hint="default" w:eastAsia="仿宋_GB2312"/>
          <w:kern w:val="2"/>
          <w:sz w:val="30"/>
          <w:szCs w:val="24"/>
          <w:lang w:val="zh-CN"/>
        </w:rPr>
        <w:t>1,819.6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年预算相比增加</w:t>
      </w:r>
      <w:r>
        <w:rPr>
          <w:rFonts w:hint="default" w:eastAsia="仿宋_GB2312"/>
          <w:kern w:val="2"/>
          <w:sz w:val="30"/>
          <w:szCs w:val="24"/>
          <w:lang w:val="zh-CN"/>
        </w:rPr>
        <w:t>138.7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万元，主要原因是本年承担的财政项目较上年增加，财政拨款收入增加。收入包括：一般公共预算拨款收入</w:t>
      </w:r>
      <w:r>
        <w:rPr>
          <w:rFonts w:hint="default" w:eastAsia="仿宋_GB2312"/>
          <w:kern w:val="2"/>
          <w:sz w:val="30"/>
          <w:szCs w:val="24"/>
          <w:lang w:val="zh-CN"/>
        </w:rPr>
        <w:t>1,742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万元、政府性基金预算拨款收入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万元、国有资本经营预算拨款收入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万元、上年财政结转结余</w:t>
      </w:r>
      <w:r>
        <w:rPr>
          <w:rFonts w:hint="default" w:eastAsia="仿宋_GB2312"/>
          <w:kern w:val="2"/>
          <w:sz w:val="30"/>
          <w:szCs w:val="24"/>
          <w:lang w:val="zh-CN"/>
        </w:rPr>
        <w:t>77.6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万元。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年财政拨款支出预算</w:t>
      </w:r>
      <w:r>
        <w:rPr>
          <w:rFonts w:hint="default" w:eastAsia="仿宋_GB2312"/>
          <w:kern w:val="2"/>
          <w:sz w:val="30"/>
          <w:szCs w:val="24"/>
          <w:lang w:val="zh-CN"/>
        </w:rPr>
        <w:t>1,819.6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年预算相比增加</w:t>
      </w:r>
      <w:r>
        <w:rPr>
          <w:rFonts w:hint="default" w:eastAsia="仿宋_GB2312"/>
          <w:kern w:val="2"/>
          <w:sz w:val="30"/>
          <w:szCs w:val="24"/>
          <w:lang w:val="zh-CN"/>
        </w:rPr>
        <w:t>138.7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万元，主要原因是本年承担的财政项目较上年增加，财政拨款支出增加。支出包括：教育支出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万元、文化旅游体育与传媒支出</w:t>
      </w:r>
      <w:r>
        <w:rPr>
          <w:rFonts w:hint="default" w:eastAsia="仿宋_GB2312"/>
          <w:kern w:val="2"/>
          <w:sz w:val="30"/>
          <w:szCs w:val="24"/>
          <w:lang w:val="zh-CN"/>
        </w:rPr>
        <w:t>1,658.8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万元、社会保障和就业支出</w:t>
      </w:r>
      <w:r>
        <w:rPr>
          <w:rFonts w:hint="default" w:eastAsia="仿宋_GB2312"/>
          <w:kern w:val="2"/>
          <w:sz w:val="30"/>
          <w:szCs w:val="24"/>
          <w:lang w:val="zh-CN"/>
        </w:rPr>
        <w:t>92.7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万元、卫生健康支出</w:t>
      </w:r>
      <w:r>
        <w:rPr>
          <w:rFonts w:hint="default" w:eastAsia="仿宋_GB2312"/>
          <w:kern w:val="2"/>
          <w:sz w:val="30"/>
          <w:szCs w:val="24"/>
          <w:lang w:val="zh-CN"/>
        </w:rPr>
        <w:t>68.1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万元、债务付息支出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五、关于一般公共预算支出情况表的说明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楷体" w:hAnsi="楷体" w:eastAsia="楷体"/>
          <w:b/>
          <w:kern w:val="2"/>
          <w:sz w:val="30"/>
          <w:szCs w:val="24"/>
        </w:rPr>
      </w:pPr>
      <w:r>
        <w:rPr>
          <w:rFonts w:hint="eastAsia" w:ascii="楷体" w:hAnsi="楷体" w:eastAsia="楷体"/>
          <w:b/>
          <w:kern w:val="2"/>
          <w:sz w:val="30"/>
          <w:szCs w:val="24"/>
        </w:rPr>
        <w:t>（一）总体情况。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天津市艺术研究所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年一般公共预算支出</w:t>
      </w:r>
      <w:r>
        <w:rPr>
          <w:rFonts w:hint="default" w:eastAsia="仿宋_GB2312"/>
          <w:kern w:val="2"/>
          <w:sz w:val="30"/>
          <w:szCs w:val="24"/>
          <w:lang w:val="zh-CN"/>
        </w:rPr>
        <w:t>1,819.6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年预算相比增加</w:t>
      </w:r>
      <w:r>
        <w:rPr>
          <w:rFonts w:hint="default" w:eastAsia="仿宋_GB2312"/>
          <w:kern w:val="2"/>
          <w:sz w:val="30"/>
          <w:szCs w:val="24"/>
          <w:lang w:val="zh-CN"/>
        </w:rPr>
        <w:t>138.7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万元，主要原因是本年承担的财政项目较上年增加，一般公共预算支出增加。</w:t>
      </w:r>
    </w:p>
    <w:p>
      <w:pPr>
        <w:spacing w:line="600" w:lineRule="exact"/>
        <w:ind w:firstLine="600"/>
        <w:jc w:val="both"/>
        <w:rPr>
          <w:rFonts w:hint="eastAsia" w:ascii="楷体" w:hAnsi="楷体" w:eastAsia="楷体"/>
          <w:b/>
          <w:kern w:val="2"/>
          <w:sz w:val="30"/>
          <w:szCs w:val="24"/>
        </w:rPr>
      </w:pPr>
      <w:r>
        <w:rPr>
          <w:rFonts w:hint="eastAsia" w:ascii="楷体" w:hAnsi="楷体" w:eastAsia="楷体"/>
          <w:b/>
          <w:kern w:val="2"/>
          <w:sz w:val="30"/>
          <w:szCs w:val="24"/>
        </w:rPr>
        <w:t>（二）具体情况。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" w:hAnsi="仿宋" w:eastAsia="仿宋"/>
          <w:sz w:val="30"/>
          <w:szCs w:val="24"/>
        </w:rPr>
        <w:t>1</w:t>
      </w:r>
      <w:r>
        <w:rPr>
          <w:rFonts w:hint="eastAsia" w:ascii="仿宋" w:hAnsi="仿宋" w:eastAsia="仿宋"/>
          <w:sz w:val="30"/>
          <w:szCs w:val="24"/>
          <w:lang w:val="zh-CN"/>
        </w:rPr>
        <w:t>、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“文化旅游体育与传媒支出”</w:t>
      </w:r>
      <w:r>
        <w:rPr>
          <w:rFonts w:hint="default" w:eastAsia="仿宋_GB2312"/>
          <w:kern w:val="2"/>
          <w:sz w:val="30"/>
          <w:szCs w:val="24"/>
          <w:lang w:val="zh-CN"/>
        </w:rPr>
        <w:t>1,658.8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年预算相比增加</w:t>
      </w:r>
      <w:r>
        <w:rPr>
          <w:rFonts w:hint="default" w:eastAsia="仿宋_GB2312"/>
          <w:kern w:val="2"/>
          <w:sz w:val="30"/>
          <w:szCs w:val="24"/>
          <w:lang w:val="zh-CN"/>
        </w:rPr>
        <w:t>149.3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万元，主要原因是本年承担的财政项目较上年增加，支出增加，其中：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“文化和旅游”</w:t>
      </w:r>
      <w:r>
        <w:rPr>
          <w:rFonts w:hint="default" w:eastAsia="仿宋_GB2312"/>
          <w:kern w:val="2"/>
          <w:sz w:val="30"/>
          <w:szCs w:val="24"/>
          <w:lang w:val="zh-CN"/>
        </w:rPr>
        <w:t>1,658.8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万元，包括:“文化创作与保护”</w:t>
      </w:r>
      <w:r>
        <w:rPr>
          <w:rFonts w:hint="default" w:eastAsia="仿宋_GB2312"/>
          <w:kern w:val="2"/>
          <w:sz w:val="30"/>
          <w:szCs w:val="24"/>
          <w:lang w:val="zh-CN"/>
        </w:rPr>
        <w:t>655.4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万元，主要用于：单位项目支出；“其他文化和旅游支出”</w:t>
      </w:r>
      <w:r>
        <w:rPr>
          <w:rFonts w:hint="default" w:eastAsia="仿宋_GB2312"/>
          <w:kern w:val="2"/>
          <w:sz w:val="30"/>
          <w:szCs w:val="24"/>
          <w:lang w:val="zh-CN"/>
        </w:rPr>
        <w:t>1,003.4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万元，主要用于：单位基本支出及项目支出；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" w:hAnsi="仿宋" w:eastAsia="仿宋"/>
          <w:sz w:val="30"/>
          <w:szCs w:val="24"/>
        </w:rPr>
        <w:t>2</w:t>
      </w:r>
      <w:r>
        <w:rPr>
          <w:rFonts w:hint="eastAsia" w:ascii="仿宋" w:hAnsi="仿宋" w:eastAsia="仿宋"/>
          <w:sz w:val="30"/>
          <w:szCs w:val="24"/>
          <w:lang w:val="zh-CN"/>
        </w:rPr>
        <w:t>、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“社会保障和就业支出”</w:t>
      </w:r>
      <w:r>
        <w:rPr>
          <w:rFonts w:hint="default" w:eastAsia="仿宋_GB2312"/>
          <w:kern w:val="2"/>
          <w:sz w:val="30"/>
          <w:szCs w:val="24"/>
          <w:lang w:val="zh-CN"/>
        </w:rPr>
        <w:t>92.7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年预算相比减少</w:t>
      </w:r>
      <w:r>
        <w:rPr>
          <w:rFonts w:hint="default" w:eastAsia="仿宋_GB2312"/>
          <w:kern w:val="2"/>
          <w:sz w:val="30"/>
          <w:szCs w:val="24"/>
          <w:lang w:val="zh-CN"/>
        </w:rPr>
        <w:t>4.4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万元，主要原因是保障人员减少，其中：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“行政事业单位养老支出”</w:t>
      </w:r>
      <w:r>
        <w:rPr>
          <w:rFonts w:hint="default" w:eastAsia="仿宋_GB2312"/>
          <w:kern w:val="2"/>
          <w:sz w:val="30"/>
          <w:szCs w:val="24"/>
          <w:lang w:val="zh-CN"/>
        </w:rPr>
        <w:t>92.7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万元，包括:“机关事业单位基本养老保险缴费支出”</w:t>
      </w:r>
      <w:r>
        <w:rPr>
          <w:rFonts w:hint="default" w:eastAsia="仿宋_GB2312"/>
          <w:kern w:val="2"/>
          <w:sz w:val="30"/>
          <w:szCs w:val="24"/>
          <w:lang w:val="zh-CN"/>
        </w:rPr>
        <w:t>61.8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万元，主要用于：单位基本养老保险缴费；“机关事业单位职业年金缴费支出”</w:t>
      </w:r>
      <w:r>
        <w:rPr>
          <w:rFonts w:hint="default" w:eastAsia="仿宋_GB2312"/>
          <w:kern w:val="2"/>
          <w:sz w:val="30"/>
          <w:szCs w:val="24"/>
          <w:lang w:val="zh-CN"/>
        </w:rPr>
        <w:t>30.9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万元，主要用于：单位职业年金缴费；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" w:hAnsi="仿宋" w:eastAsia="仿宋"/>
          <w:sz w:val="30"/>
          <w:szCs w:val="24"/>
        </w:rPr>
        <w:t>3</w:t>
      </w:r>
      <w:r>
        <w:rPr>
          <w:rFonts w:hint="eastAsia" w:ascii="仿宋" w:hAnsi="仿宋" w:eastAsia="仿宋"/>
          <w:sz w:val="30"/>
          <w:szCs w:val="24"/>
          <w:lang w:val="zh-CN"/>
        </w:rPr>
        <w:t>、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“卫生健康支出”</w:t>
      </w:r>
      <w:r>
        <w:rPr>
          <w:rFonts w:hint="default" w:eastAsia="仿宋_GB2312"/>
          <w:kern w:val="2"/>
          <w:sz w:val="30"/>
          <w:szCs w:val="24"/>
          <w:lang w:val="zh-CN"/>
        </w:rPr>
        <w:t>68.1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年预算相比减少</w:t>
      </w:r>
      <w:r>
        <w:rPr>
          <w:rFonts w:hint="default" w:eastAsia="仿宋_GB2312"/>
          <w:kern w:val="2"/>
          <w:sz w:val="30"/>
          <w:szCs w:val="24"/>
          <w:lang w:val="zh-CN"/>
        </w:rPr>
        <w:t>6.2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万元，主要原因是保障人员减少，其中：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“行政事业单位医疗”</w:t>
      </w:r>
      <w:r>
        <w:rPr>
          <w:rFonts w:hint="default" w:eastAsia="仿宋_GB2312"/>
          <w:kern w:val="2"/>
          <w:sz w:val="30"/>
          <w:szCs w:val="24"/>
          <w:lang w:val="zh-CN"/>
        </w:rPr>
        <w:t>68.1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万元，包括:“事业单位医疗”</w:t>
      </w:r>
      <w:r>
        <w:rPr>
          <w:rFonts w:hint="default" w:eastAsia="仿宋_GB2312"/>
          <w:kern w:val="2"/>
          <w:sz w:val="30"/>
          <w:szCs w:val="24"/>
          <w:lang w:val="zh-CN"/>
        </w:rPr>
        <w:t>44.6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万元，主要用于：单位基本医疗保险缴费；“其他行政事业单位医疗支出”</w:t>
      </w:r>
      <w:r>
        <w:rPr>
          <w:rFonts w:hint="default" w:eastAsia="仿宋_GB2312"/>
          <w:kern w:val="2"/>
          <w:sz w:val="30"/>
          <w:szCs w:val="24"/>
          <w:lang w:val="zh-CN"/>
        </w:rPr>
        <w:t>23.5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万元，主要用于：单位人员其他医疗费用支出；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六、关于一般公共预算基本支出情况表的说明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天津市艺术研究所一般公共预算基本支出</w:t>
      </w:r>
      <w:r>
        <w:rPr>
          <w:rFonts w:hint="default" w:eastAsia="仿宋_GB2312"/>
          <w:kern w:val="2"/>
          <w:sz w:val="30"/>
          <w:szCs w:val="24"/>
          <w:lang w:val="zh-CN"/>
        </w:rPr>
        <w:t>1,124.2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年预算相比减少</w:t>
      </w:r>
      <w:r>
        <w:rPr>
          <w:rFonts w:hint="default" w:eastAsia="仿宋_GB2312"/>
          <w:kern w:val="2"/>
          <w:sz w:val="30"/>
          <w:szCs w:val="24"/>
          <w:lang w:val="zh-CN"/>
        </w:rPr>
        <w:t>69.2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万元，主要原因是落实“过紧日子”政策，压减支出。其中：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人员经费</w:t>
      </w:r>
      <w:r>
        <w:rPr>
          <w:rFonts w:hint="default" w:eastAsia="仿宋_GB2312"/>
          <w:kern w:val="2"/>
          <w:sz w:val="30"/>
          <w:szCs w:val="24"/>
          <w:lang w:val="zh-CN"/>
        </w:rPr>
        <w:t>1,018.4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万元，主要包括：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“基本工资”</w:t>
      </w:r>
      <w:r>
        <w:rPr>
          <w:rFonts w:hint="default" w:eastAsia="仿宋_GB2312"/>
          <w:kern w:val="2"/>
          <w:sz w:val="30"/>
          <w:szCs w:val="24"/>
          <w:lang w:val="zh-CN"/>
        </w:rPr>
        <w:t>179.5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万元、“津贴补贴”</w:t>
      </w:r>
      <w:r>
        <w:rPr>
          <w:rFonts w:hint="default" w:eastAsia="仿宋_GB2312"/>
          <w:kern w:val="2"/>
          <w:sz w:val="30"/>
          <w:szCs w:val="24"/>
          <w:lang w:val="zh-CN"/>
        </w:rPr>
        <w:t>84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万元、“绩效工资”</w:t>
      </w:r>
      <w:r>
        <w:rPr>
          <w:rFonts w:hint="default" w:eastAsia="仿宋_GB2312"/>
          <w:kern w:val="2"/>
          <w:sz w:val="30"/>
          <w:szCs w:val="24"/>
          <w:lang w:val="zh-CN"/>
        </w:rPr>
        <w:t>212.4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万元、“机关事业单位基本养老保险缴费”</w:t>
      </w:r>
      <w:r>
        <w:rPr>
          <w:rFonts w:hint="default" w:eastAsia="仿宋_GB2312"/>
          <w:kern w:val="2"/>
          <w:sz w:val="30"/>
          <w:szCs w:val="24"/>
          <w:lang w:val="zh-CN"/>
        </w:rPr>
        <w:t>61.8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万元、“职业年金缴费”</w:t>
      </w:r>
      <w:r>
        <w:rPr>
          <w:rFonts w:hint="default" w:eastAsia="仿宋_GB2312"/>
          <w:kern w:val="2"/>
          <w:sz w:val="30"/>
          <w:szCs w:val="24"/>
          <w:lang w:val="zh-CN"/>
        </w:rPr>
        <w:t>30.9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万元、“职工基本医疗保险缴费”</w:t>
      </w:r>
      <w:r>
        <w:rPr>
          <w:rFonts w:hint="default" w:eastAsia="仿宋_GB2312"/>
          <w:kern w:val="2"/>
          <w:sz w:val="30"/>
          <w:szCs w:val="24"/>
          <w:lang w:val="zh-CN"/>
        </w:rPr>
        <w:t>38.6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万元、“其他社会保障缴费”</w:t>
      </w:r>
      <w:r>
        <w:rPr>
          <w:rFonts w:hint="default" w:eastAsia="仿宋_GB2312"/>
          <w:kern w:val="2"/>
          <w:sz w:val="30"/>
          <w:szCs w:val="24"/>
          <w:lang w:val="zh-CN"/>
        </w:rPr>
        <w:t>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万元、“住房公积金”</w:t>
      </w:r>
      <w:r>
        <w:rPr>
          <w:rFonts w:hint="default" w:eastAsia="仿宋_GB2312"/>
          <w:kern w:val="2"/>
          <w:sz w:val="30"/>
          <w:szCs w:val="24"/>
          <w:lang w:val="zh-CN"/>
        </w:rPr>
        <w:t>213.2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万元、“医疗费”</w:t>
      </w:r>
      <w:r>
        <w:rPr>
          <w:rFonts w:hint="default" w:eastAsia="仿宋_GB2312"/>
          <w:kern w:val="2"/>
          <w:sz w:val="30"/>
          <w:szCs w:val="24"/>
          <w:lang w:val="zh-CN"/>
        </w:rPr>
        <w:t>4.6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万元、“其他工资福利支出”</w:t>
      </w:r>
      <w:r>
        <w:rPr>
          <w:rFonts w:hint="default" w:eastAsia="仿宋_GB2312"/>
          <w:kern w:val="2"/>
          <w:sz w:val="30"/>
          <w:szCs w:val="24"/>
          <w:lang w:val="zh-CN"/>
        </w:rPr>
        <w:t>39.2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万元、“离休费”</w:t>
      </w:r>
      <w:r>
        <w:rPr>
          <w:rFonts w:hint="default" w:eastAsia="仿宋_GB2312"/>
          <w:kern w:val="2"/>
          <w:sz w:val="30"/>
          <w:szCs w:val="24"/>
          <w:lang w:val="zh-CN"/>
        </w:rPr>
        <w:t>60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万元、“退休费”</w:t>
      </w:r>
      <w:r>
        <w:rPr>
          <w:rFonts w:hint="default" w:eastAsia="仿宋_GB2312"/>
          <w:kern w:val="2"/>
          <w:sz w:val="30"/>
          <w:szCs w:val="24"/>
          <w:lang w:val="zh-CN"/>
        </w:rPr>
        <w:t>35.2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万元、“医疗费补助”</w:t>
      </w:r>
      <w:r>
        <w:rPr>
          <w:rFonts w:hint="default" w:eastAsia="仿宋_GB2312"/>
          <w:kern w:val="2"/>
          <w:sz w:val="30"/>
          <w:szCs w:val="24"/>
          <w:lang w:val="zh-CN"/>
        </w:rPr>
        <w:t>24.9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万元、“奖励金”</w:t>
      </w:r>
      <w:r>
        <w:rPr>
          <w:rFonts w:hint="default" w:eastAsia="仿宋_GB2312"/>
          <w:kern w:val="2"/>
          <w:sz w:val="30"/>
          <w:szCs w:val="24"/>
          <w:lang w:val="zh-CN"/>
        </w:rPr>
        <w:t>0.1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万元、“其他对个人和家庭的补助”</w:t>
      </w:r>
      <w:r>
        <w:rPr>
          <w:rFonts w:hint="default" w:eastAsia="仿宋_GB2312"/>
          <w:kern w:val="2"/>
          <w:sz w:val="30"/>
          <w:szCs w:val="24"/>
          <w:lang w:val="zh-CN"/>
        </w:rPr>
        <w:t>31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万元。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公用经费</w:t>
      </w:r>
      <w:r>
        <w:rPr>
          <w:rFonts w:hint="default" w:eastAsia="仿宋_GB2312"/>
          <w:kern w:val="2"/>
          <w:sz w:val="30"/>
          <w:szCs w:val="24"/>
          <w:lang w:val="zh-CN"/>
        </w:rPr>
        <w:t>105.8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万元，主要包括：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“办公费”</w:t>
      </w:r>
      <w:r>
        <w:rPr>
          <w:rFonts w:hint="default" w:eastAsia="仿宋_GB2312"/>
          <w:kern w:val="2"/>
          <w:sz w:val="30"/>
          <w:szCs w:val="24"/>
          <w:lang w:val="zh-CN"/>
        </w:rPr>
        <w:t>4.5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万元、“印刷费”</w:t>
      </w:r>
      <w:r>
        <w:rPr>
          <w:rFonts w:hint="default" w:eastAsia="仿宋_GB2312"/>
          <w:kern w:val="2"/>
          <w:sz w:val="30"/>
          <w:szCs w:val="24"/>
          <w:lang w:val="zh-CN"/>
        </w:rPr>
        <w:t>0.8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万元、“咨询费”</w:t>
      </w:r>
      <w:r>
        <w:rPr>
          <w:rFonts w:hint="default" w:eastAsia="仿宋_GB2312"/>
          <w:kern w:val="2"/>
          <w:sz w:val="30"/>
          <w:szCs w:val="24"/>
          <w:lang w:val="zh-CN"/>
        </w:rPr>
        <w:t>1.5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万元、“手续费”</w:t>
      </w:r>
      <w:r>
        <w:rPr>
          <w:rFonts w:hint="default" w:eastAsia="仿宋_GB2312"/>
          <w:kern w:val="2"/>
          <w:sz w:val="30"/>
          <w:szCs w:val="24"/>
          <w:lang w:val="zh-CN"/>
        </w:rPr>
        <w:t>0.1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万元、“水费”</w:t>
      </w:r>
      <w:r>
        <w:rPr>
          <w:rFonts w:hint="default" w:eastAsia="仿宋_GB2312"/>
          <w:kern w:val="2"/>
          <w:sz w:val="30"/>
          <w:szCs w:val="24"/>
          <w:lang w:val="zh-CN"/>
        </w:rPr>
        <w:t>0.6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万元、“电费”</w:t>
      </w:r>
      <w:r>
        <w:rPr>
          <w:rFonts w:hint="default" w:eastAsia="仿宋_GB2312"/>
          <w:kern w:val="2"/>
          <w:sz w:val="30"/>
          <w:szCs w:val="24"/>
          <w:lang w:val="zh-CN"/>
        </w:rPr>
        <w:t>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万元、“邮电费”</w:t>
      </w:r>
      <w:r>
        <w:rPr>
          <w:rFonts w:hint="default" w:eastAsia="仿宋_GB2312"/>
          <w:kern w:val="2"/>
          <w:sz w:val="30"/>
          <w:szCs w:val="24"/>
          <w:lang w:val="zh-CN"/>
        </w:rPr>
        <w:t>1.5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万元、“取暖费”</w:t>
      </w:r>
      <w:r>
        <w:rPr>
          <w:rFonts w:hint="default" w:eastAsia="仿宋_GB2312"/>
          <w:kern w:val="2"/>
          <w:sz w:val="30"/>
          <w:szCs w:val="24"/>
          <w:lang w:val="zh-CN"/>
        </w:rPr>
        <w:t>6.1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万元、“物业管理费”</w:t>
      </w:r>
      <w:r>
        <w:rPr>
          <w:rFonts w:hint="default" w:eastAsia="仿宋_GB2312"/>
          <w:kern w:val="2"/>
          <w:sz w:val="30"/>
          <w:szCs w:val="24"/>
          <w:lang w:val="zh-CN"/>
        </w:rPr>
        <w:t>37.4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万元、“差旅费”</w:t>
      </w:r>
      <w:r>
        <w:rPr>
          <w:rFonts w:hint="default" w:eastAsia="仿宋_GB2312"/>
          <w:kern w:val="2"/>
          <w:sz w:val="30"/>
          <w:szCs w:val="24"/>
          <w:lang w:val="zh-CN"/>
        </w:rPr>
        <w:t>0.9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万元、“维修(护)费”</w:t>
      </w:r>
      <w:r>
        <w:rPr>
          <w:rFonts w:hint="default" w:eastAsia="仿宋_GB2312"/>
          <w:kern w:val="2"/>
          <w:sz w:val="30"/>
          <w:szCs w:val="24"/>
          <w:lang w:val="zh-CN"/>
        </w:rPr>
        <w:t>14.4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万元、“培训费”</w:t>
      </w:r>
      <w:r>
        <w:rPr>
          <w:rFonts w:hint="default" w:eastAsia="仿宋_GB2312"/>
          <w:kern w:val="2"/>
          <w:sz w:val="30"/>
          <w:szCs w:val="24"/>
          <w:lang w:val="zh-CN"/>
        </w:rPr>
        <w:t>0.9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万元、“公务接待费”</w:t>
      </w:r>
      <w:r>
        <w:rPr>
          <w:rFonts w:hint="default" w:eastAsia="仿宋_GB2312"/>
          <w:kern w:val="2"/>
          <w:sz w:val="30"/>
          <w:szCs w:val="24"/>
          <w:lang w:val="zh-CN"/>
        </w:rPr>
        <w:t>0.1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万元、“劳务费”</w:t>
      </w:r>
      <w:r>
        <w:rPr>
          <w:rFonts w:hint="default" w:eastAsia="仿宋_GB2312"/>
          <w:kern w:val="2"/>
          <w:sz w:val="30"/>
          <w:szCs w:val="24"/>
          <w:lang w:val="zh-CN"/>
        </w:rPr>
        <w:t>0.5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万元、“工会经费”</w:t>
      </w:r>
      <w:r>
        <w:rPr>
          <w:rFonts w:hint="default" w:eastAsia="仿宋_GB2312"/>
          <w:kern w:val="2"/>
          <w:sz w:val="30"/>
          <w:szCs w:val="24"/>
          <w:lang w:val="zh-CN"/>
        </w:rPr>
        <w:t>7.9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万元、“福利费”</w:t>
      </w:r>
      <w:r>
        <w:rPr>
          <w:rFonts w:hint="default" w:eastAsia="仿宋_GB2312"/>
          <w:kern w:val="2"/>
          <w:sz w:val="30"/>
          <w:szCs w:val="24"/>
          <w:lang w:val="zh-CN"/>
        </w:rPr>
        <w:t>11.8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万元、“其他交通费用”</w:t>
      </w:r>
      <w:r>
        <w:rPr>
          <w:rFonts w:hint="default" w:eastAsia="仿宋_GB2312"/>
          <w:kern w:val="2"/>
          <w:sz w:val="30"/>
          <w:szCs w:val="24"/>
          <w:lang w:val="zh-CN"/>
        </w:rPr>
        <w:t>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万元、“其他商品和服务支出”</w:t>
      </w:r>
      <w:r>
        <w:rPr>
          <w:rFonts w:hint="default" w:eastAsia="仿宋_GB2312"/>
          <w:kern w:val="2"/>
          <w:sz w:val="30"/>
          <w:szCs w:val="24"/>
          <w:lang w:val="zh-CN"/>
        </w:rPr>
        <w:t>11.4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万元、“其他资本性支出”</w:t>
      </w:r>
      <w:r>
        <w:rPr>
          <w:rFonts w:hint="default" w:eastAsia="仿宋_GB2312"/>
          <w:kern w:val="2"/>
          <w:sz w:val="30"/>
          <w:szCs w:val="24"/>
          <w:lang w:val="zh-CN"/>
        </w:rPr>
        <w:t>1.4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七、关于一般公共预算“三公”经费支出情况表的说明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年一般公共预算“三公”经费安排</w:t>
      </w:r>
      <w:r>
        <w:rPr>
          <w:rFonts w:hint="default" w:eastAsia="仿宋_GB2312"/>
          <w:kern w:val="2"/>
          <w:sz w:val="30"/>
          <w:szCs w:val="24"/>
          <w:lang w:val="zh-CN"/>
        </w:rPr>
        <w:t>0.1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年预算相比减少</w:t>
      </w:r>
      <w:r>
        <w:rPr>
          <w:rFonts w:hint="default" w:eastAsia="仿宋_GB2312"/>
          <w:kern w:val="2"/>
          <w:sz w:val="30"/>
          <w:szCs w:val="24"/>
          <w:lang w:val="zh-CN"/>
        </w:rPr>
        <w:t>0.1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万元，主要原因是本单位公务用车于上年完成处置，本年不再安排相关预算。具体情况：</w:t>
      </w:r>
    </w:p>
    <w:p>
      <w:pPr>
        <w:spacing w:line="56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一、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年因公出国（境）费预算</w:t>
      </w:r>
      <w:r>
        <w:rPr>
          <w:rFonts w:hint="default" w:eastAsia="仿宋_GB2312"/>
          <w:kern w:val="2"/>
          <w:sz w:val="30"/>
          <w:szCs w:val="24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年预算相比持平，主要原因是本单位一般公共预算未安排‘因公出国（境）费’经费。</w:t>
      </w:r>
    </w:p>
    <w:p>
      <w:pPr>
        <w:spacing w:line="56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二、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年公务用车购置及运行费预算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万元，其中公务用车运行费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年预算相比减少</w:t>
      </w:r>
      <w:r>
        <w:rPr>
          <w:rFonts w:hint="default" w:eastAsia="仿宋_GB2312"/>
          <w:kern w:val="2"/>
          <w:sz w:val="30"/>
          <w:szCs w:val="24"/>
          <w:lang w:val="zh-CN"/>
        </w:rPr>
        <w:t>0.1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万元，主要原因是本单位一般公共预算未安排‘公务用车购置及运行费’经费；公务用车购置费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年预算相比持平，主要原因是本单位一般公共预算未安排‘公务用车购置费’经费。</w:t>
      </w:r>
    </w:p>
    <w:p>
      <w:pPr>
        <w:spacing w:line="560" w:lineRule="exact"/>
        <w:ind w:firstLine="645"/>
        <w:jc w:val="both"/>
        <w:rPr>
          <w:rFonts w:hint="default" w:ascii="MS Serif" w:eastAsia="Times New Roman"/>
          <w:kern w:val="2"/>
          <w:sz w:val="30"/>
          <w:szCs w:val="24"/>
        </w:rPr>
      </w:pPr>
      <w:r>
        <w:rPr>
          <w:rFonts w:hint="eastAsia" w:ascii="仿宋_GB2312" w:hAnsi="仿宋_GB2312" w:eastAsia="仿宋_GB2312"/>
          <w:kern w:val="2"/>
          <w:sz w:val="30"/>
          <w:szCs w:val="24"/>
        </w:rPr>
        <w:t>三、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年公务接待费预算</w:t>
      </w:r>
      <w:r>
        <w:rPr>
          <w:rFonts w:hint="default" w:eastAsia="仿宋_GB2312"/>
          <w:kern w:val="2"/>
          <w:sz w:val="30"/>
          <w:szCs w:val="24"/>
          <w:lang w:val="zh-CN"/>
        </w:rPr>
        <w:t>0.1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年预算相比持平，主要原因是与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年保持一致，没有增减变化。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default" w:ascii="Calibri" w:eastAsia="Times New Roman"/>
          <w:kern w:val="2"/>
          <w:sz w:val="30"/>
          <w:szCs w:val="24"/>
          <w:lang w:val="zh-CN"/>
        </w:rPr>
      </w:pPr>
      <w:r>
        <w:rPr>
          <w:rFonts w:hint="eastAsia" w:ascii="黑体" w:hAnsi="黑体" w:eastAsia="黑体"/>
          <w:sz w:val="30"/>
          <w:szCs w:val="24"/>
        </w:rPr>
        <w:t>八、关于政府性基金预算支出情况表的说明</w:t>
      </w:r>
    </w:p>
    <w:p>
      <w:pPr>
        <w:spacing w:line="560" w:lineRule="exact"/>
        <w:ind w:firstLine="645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年天津市艺术研究所预算中没有使用政府性基金预算安排的支出。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九、关于国有资本经营预算支出情况表的说明</w:t>
      </w:r>
    </w:p>
    <w:p>
      <w:pPr>
        <w:spacing w:line="580" w:lineRule="exact"/>
        <w:ind w:firstLine="600"/>
        <w:jc w:val="both"/>
        <w:rPr>
          <w:rFonts w:hint="default" w:eastAsia="Times New Roman"/>
          <w:kern w:val="2"/>
          <w:sz w:val="30"/>
          <w:szCs w:val="24"/>
        </w:rPr>
      </w:pP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年天津市艺术研究所预算中没有使用国有资本经营预算安排的支出。</w:t>
      </w:r>
    </w:p>
    <w:p>
      <w:pPr>
        <w:pStyle w:val="3"/>
        <w:keepNext/>
        <w:keepLines/>
        <w:spacing w:before="260" w:after="260" w:line="600" w:lineRule="exact"/>
        <w:ind w:firstLine="600"/>
        <w:rPr>
          <w:rFonts w:hint="eastAsia" w:ascii="黑体" w:hAnsi="黑体" w:eastAsia="黑体"/>
          <w:sz w:val="30"/>
          <w:szCs w:val="24"/>
        </w:rPr>
      </w:pPr>
      <w:r>
        <w:rPr>
          <w:rFonts w:hint="eastAsia" w:ascii="黑体" w:hAnsi="黑体" w:eastAsia="黑体"/>
          <w:sz w:val="30"/>
          <w:szCs w:val="24"/>
        </w:rPr>
        <w:t>十、其他重要事项的情况说明</w:t>
      </w:r>
    </w:p>
    <w:p>
      <w:pPr>
        <w:spacing w:line="600" w:lineRule="exact"/>
        <w:ind w:left="480"/>
        <w:jc w:val="both"/>
        <w:rPr>
          <w:rFonts w:hint="eastAsia" w:ascii="楷体" w:hAnsi="楷体" w:eastAsia="楷体"/>
          <w:b/>
          <w:kern w:val="2"/>
          <w:sz w:val="30"/>
          <w:szCs w:val="24"/>
        </w:rPr>
      </w:pPr>
      <w:r>
        <w:rPr>
          <w:rFonts w:hint="eastAsia" w:ascii="楷体" w:hAnsi="楷体" w:eastAsia="楷体"/>
          <w:b/>
          <w:kern w:val="2"/>
          <w:sz w:val="30"/>
          <w:szCs w:val="24"/>
        </w:rPr>
        <w:t xml:space="preserve"> （一）机关运行经费。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" w:hAnsi="仿宋" w:eastAsia="仿宋"/>
          <w:kern w:val="2"/>
          <w:sz w:val="30"/>
          <w:szCs w:val="24"/>
          <w:lang w:val="zh-CN"/>
        </w:rPr>
        <w:t xml:space="preserve"> 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天津市艺术研究所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年未安排机关运行经费预算。</w:t>
      </w:r>
    </w:p>
    <w:p>
      <w:pPr>
        <w:spacing w:line="600" w:lineRule="exact"/>
        <w:ind w:firstLine="602"/>
        <w:jc w:val="both"/>
        <w:rPr>
          <w:rFonts w:hint="default" w:ascii="MS Serif" w:eastAsia="Times New Roman"/>
          <w:b/>
          <w:kern w:val="2"/>
          <w:sz w:val="30"/>
          <w:szCs w:val="24"/>
        </w:rPr>
      </w:pPr>
      <w:r>
        <w:rPr>
          <w:rFonts w:hint="eastAsia" w:ascii="楷体" w:hAnsi="楷体" w:eastAsia="楷体"/>
          <w:b/>
          <w:kern w:val="2"/>
          <w:sz w:val="30"/>
          <w:szCs w:val="24"/>
        </w:rPr>
        <w:t>（二）</w:t>
      </w: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政府采购情况</w:t>
      </w:r>
      <w:r>
        <w:rPr>
          <w:rFonts w:hint="eastAsia" w:ascii="楷体" w:hAnsi="楷体" w:eastAsia="楷体"/>
          <w:b/>
          <w:kern w:val="2"/>
          <w:sz w:val="30"/>
          <w:szCs w:val="24"/>
        </w:rPr>
        <w:t>。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本单位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年安排政府采购预算</w:t>
      </w:r>
      <w:r>
        <w:rPr>
          <w:rFonts w:hint="default" w:eastAsia="仿宋_GB2312"/>
          <w:kern w:val="2"/>
          <w:sz w:val="30"/>
          <w:szCs w:val="24"/>
          <w:lang w:val="zh-CN"/>
        </w:rPr>
        <w:t>117.5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万元，其中：政府采购货物支出</w:t>
      </w:r>
      <w:r>
        <w:rPr>
          <w:rFonts w:hint="default" w:eastAsia="仿宋_GB2312"/>
          <w:kern w:val="2"/>
          <w:sz w:val="30"/>
          <w:szCs w:val="24"/>
          <w:lang w:val="zh-CN"/>
        </w:rPr>
        <w:t>3.5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万元、政府采购工程支出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万元、政府采购服务支出</w:t>
      </w:r>
      <w:r>
        <w:rPr>
          <w:rFonts w:hint="default" w:eastAsia="仿宋_GB2312"/>
          <w:kern w:val="2"/>
          <w:sz w:val="30"/>
          <w:szCs w:val="24"/>
          <w:lang w:val="zh-CN"/>
        </w:rPr>
        <w:t>114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万元。主要项目是：国家级非遗代表性传承人记录经费（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年国家非物质文化遗产保护资金）-中央项目</w:t>
      </w:r>
      <w:r>
        <w:rPr>
          <w:rFonts w:hint="default" w:eastAsia="仿宋_GB2312"/>
          <w:kern w:val="2"/>
          <w:sz w:val="30"/>
          <w:szCs w:val="24"/>
          <w:lang w:val="zh-CN"/>
        </w:rPr>
        <w:t>114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万元等。</w:t>
      </w:r>
    </w:p>
    <w:p>
      <w:pPr>
        <w:spacing w:line="600" w:lineRule="exact"/>
        <w:ind w:firstLine="602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（三）国有资产占用情况</w:t>
      </w:r>
      <w:r>
        <w:rPr>
          <w:rFonts w:hint="eastAsia" w:ascii="楷体" w:hAnsi="楷体" w:eastAsia="楷体"/>
          <w:b/>
          <w:kern w:val="2"/>
          <w:sz w:val="30"/>
          <w:szCs w:val="24"/>
        </w:rPr>
        <w:t>。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截至</w:t>
      </w:r>
      <w:r>
        <w:rPr>
          <w:rFonts w:hint="default" w:eastAsia="仿宋_GB2312"/>
          <w:kern w:val="2"/>
          <w:sz w:val="30"/>
          <w:szCs w:val="24"/>
          <w:lang w:val="zh-CN"/>
        </w:rPr>
        <w:t>2023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</w:t>
      </w:r>
      <w:r>
        <w:rPr>
          <w:rFonts w:hint="default" w:eastAsia="仿宋_GB2312"/>
          <w:kern w:val="2"/>
          <w:sz w:val="30"/>
          <w:szCs w:val="24"/>
          <w:lang w:val="zh-CN"/>
        </w:rPr>
        <w:t>7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月底，本单位共有车辆</w:t>
      </w:r>
      <w:r>
        <w:rPr>
          <w:rFonts w:hint="default" w:eastAsia="仿宋_GB2312"/>
          <w:kern w:val="2"/>
          <w:sz w:val="30"/>
          <w:szCs w:val="24"/>
          <w:lang w:val="zh-CN"/>
        </w:rPr>
        <w:t>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辆，其中：副部（省）级及以上领导用车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辆、主要负责人干部用车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辆、机要通信用车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辆、应急保障用车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辆、执法执勤用车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辆、特种专业技术用车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辆、离退休干部服务用车</w:t>
      </w:r>
      <w:r>
        <w:rPr>
          <w:rFonts w:hint="default" w:eastAsia="仿宋_GB2312"/>
          <w:kern w:val="2"/>
          <w:sz w:val="30"/>
          <w:szCs w:val="24"/>
          <w:lang w:val="zh-CN"/>
        </w:rPr>
        <w:t>1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辆、其他用车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辆，其他用车主要包括无。单价（账面原值）</w:t>
      </w:r>
      <w:r>
        <w:rPr>
          <w:rFonts w:hint="default" w:eastAsia="仿宋_GB2312"/>
          <w:kern w:val="2"/>
          <w:sz w:val="30"/>
          <w:szCs w:val="24"/>
          <w:lang w:val="zh-CN"/>
        </w:rPr>
        <w:t>100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万元以上的设备</w:t>
      </w:r>
      <w:r>
        <w:rPr>
          <w:rFonts w:hint="default" w:eastAsia="仿宋_GB2312"/>
          <w:kern w:val="2"/>
          <w:sz w:val="30"/>
          <w:szCs w:val="24"/>
          <w:lang w:val="zh-CN"/>
        </w:rPr>
        <w:t>0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台（套）。</w:t>
      </w:r>
    </w:p>
    <w:p>
      <w:pPr>
        <w:spacing w:line="600" w:lineRule="exact"/>
        <w:ind w:firstLine="602"/>
        <w:jc w:val="both"/>
        <w:rPr>
          <w:rFonts w:hint="default" w:ascii="MS Serif" w:eastAsia="Times New Roman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（四）预算绩效情况说明。</w:t>
      </w:r>
    </w:p>
    <w:p>
      <w:pPr>
        <w:spacing w:line="580" w:lineRule="exact"/>
        <w:ind w:firstLine="600"/>
        <w:jc w:val="both"/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</w:pP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本单位</w:t>
      </w:r>
      <w:r>
        <w:rPr>
          <w:rFonts w:hint="default" w:eastAsia="仿宋_GB2312"/>
          <w:kern w:val="2"/>
          <w:sz w:val="30"/>
          <w:szCs w:val="24"/>
          <w:lang w:val="zh-CN"/>
        </w:rPr>
        <w:t>2024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年实行绩效目标管理的项目</w:t>
      </w:r>
      <w:r>
        <w:rPr>
          <w:rFonts w:hint="default" w:eastAsia="仿宋_GB2312"/>
          <w:kern w:val="2"/>
          <w:sz w:val="30"/>
          <w:szCs w:val="24"/>
          <w:lang w:val="zh-CN"/>
        </w:rPr>
        <w:t>12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个，涉及预算金额</w:t>
      </w:r>
      <w:r>
        <w:rPr>
          <w:rFonts w:hint="default" w:eastAsia="仿宋_GB2312"/>
          <w:kern w:val="2"/>
          <w:sz w:val="30"/>
          <w:szCs w:val="24"/>
          <w:lang w:val="zh-CN"/>
        </w:rPr>
        <w:t>740.4</w:t>
      </w:r>
      <w:r>
        <w:rPr>
          <w:rFonts w:hint="eastAsia" w:ascii="仿宋_GB2312" w:hAnsi="仿宋_GB2312" w:eastAsia="仿宋_GB2312"/>
          <w:kern w:val="2"/>
          <w:sz w:val="30"/>
          <w:szCs w:val="24"/>
          <w:lang w:val="zh-CN"/>
        </w:rPr>
        <w:t>万元。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b/>
          <w:kern w:val="44"/>
          <w:sz w:val="44"/>
          <w:szCs w:val="24"/>
          <w:lang w:val="zh-CN"/>
        </w:rPr>
      </w:pPr>
    </w:p>
    <w:p>
      <w:pPr>
        <w:spacing w:line="580" w:lineRule="exact"/>
        <w:jc w:val="center"/>
        <w:rPr>
          <w:rFonts w:hint="eastAsia" w:ascii="黑体" w:hAnsi="黑体" w:eastAsia="黑体"/>
          <w:b/>
          <w:kern w:val="2"/>
          <w:sz w:val="44"/>
          <w:szCs w:val="24"/>
        </w:rPr>
      </w:pPr>
      <w:r>
        <w:rPr>
          <w:rFonts w:hint="eastAsia" w:ascii="方正小标宋简体" w:hAnsi="方正小标宋简体" w:eastAsia="方正小标宋简体"/>
          <w:b/>
          <w:kern w:val="44"/>
          <w:sz w:val="44"/>
          <w:szCs w:val="24"/>
          <w:lang w:val="zh-CN"/>
        </w:rPr>
        <w:t>第三部分</w:t>
      </w:r>
      <w:r>
        <w:rPr>
          <w:rFonts w:hint="eastAsia" w:ascii="黑体" w:hAnsi="黑体" w:eastAsia="黑体"/>
          <w:b/>
          <w:kern w:val="2"/>
          <w:sz w:val="44"/>
          <w:szCs w:val="24"/>
        </w:rPr>
        <w:t xml:space="preserve">  </w:t>
      </w:r>
      <w:r>
        <w:rPr>
          <w:rFonts w:hint="eastAsia" w:ascii="方正小标宋简体" w:hAnsi="方正小标宋简体" w:eastAsia="方正小标宋简体"/>
          <w:b/>
          <w:kern w:val="44"/>
          <w:sz w:val="44"/>
          <w:szCs w:val="24"/>
        </w:rPr>
        <w:t>名词解释</w:t>
      </w:r>
    </w:p>
    <w:p>
      <w:pPr>
        <w:spacing w:line="600" w:lineRule="exact"/>
        <w:ind w:firstLine="600"/>
        <w:jc w:val="both"/>
        <w:rPr>
          <w:rFonts w:hint="eastAsia" w:ascii="仿宋_GB2312" w:hAnsi="仿宋_GB2312" w:eastAsia="仿宋_GB2312"/>
          <w:kern w:val="2"/>
          <w:sz w:val="24"/>
          <w:szCs w:val="24"/>
        </w:rPr>
      </w:pPr>
    </w:p>
    <w:p>
      <w:pPr>
        <w:spacing w:line="580" w:lineRule="exact"/>
        <w:ind w:firstLine="600"/>
        <w:rPr>
          <w:rFonts w:hint="eastAsia" w:ascii="仿宋_GB2312" w:hAnsi="仿宋_GB2312" w:eastAsia="仿宋_GB2312"/>
          <w:sz w:val="30"/>
          <w:szCs w:val="24"/>
        </w:rPr>
      </w:pPr>
      <w:r>
        <w:rPr>
          <w:rFonts w:hint="eastAsia" w:ascii="仿宋_GB2312" w:hAnsi="仿宋_GB2312" w:eastAsia="仿宋_GB2312"/>
          <w:sz w:val="30"/>
          <w:szCs w:val="24"/>
        </w:rPr>
        <w:t>1.部门预算。是指主管预算部门依据相关法律、法规和政策规定及其行使职能需要，组织所属预算单位编制并逐级上报、审核、汇总，经财政部门审核后按程序依法批准的部门综合收支计划。</w:t>
      </w:r>
    </w:p>
    <w:p>
      <w:pPr>
        <w:spacing w:line="580" w:lineRule="exact"/>
        <w:ind w:firstLine="600"/>
        <w:rPr>
          <w:rFonts w:hint="eastAsia" w:ascii="仿宋_GB2312" w:hAnsi="仿宋_GB2312" w:eastAsia="仿宋_GB2312"/>
          <w:sz w:val="30"/>
          <w:szCs w:val="24"/>
        </w:rPr>
      </w:pPr>
      <w:r>
        <w:rPr>
          <w:rFonts w:hint="eastAsia" w:ascii="仿宋_GB2312" w:hAnsi="仿宋_GB2312" w:eastAsia="仿宋_GB2312"/>
          <w:sz w:val="30"/>
          <w:szCs w:val="24"/>
        </w:rPr>
        <w:t>2.机关运行经费。是指各部门的公用经费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jc w:val="both"/>
        <w:rPr>
          <w:rFonts w:hint="eastAsia" w:ascii="楷体_GB2312" w:hAnsi="楷体_GB2312" w:eastAsia="楷体_GB2312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default" w:ascii="MS Serif" w:eastAsia="Times New Roman"/>
          <w:kern w:val="2"/>
          <w:sz w:val="24"/>
          <w:szCs w:val="24"/>
        </w:rPr>
      </w:pPr>
    </w:p>
    <w:p>
      <w:pPr>
        <w:spacing w:line="580" w:lineRule="exact"/>
        <w:ind w:firstLine="600"/>
        <w:jc w:val="both"/>
        <w:rPr>
          <w:rFonts w:hint="default" w:ascii="MS Serif" w:eastAsia="Times New Roman"/>
          <w:kern w:val="2"/>
          <w:sz w:val="24"/>
          <w:szCs w:val="24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b/>
          <w:kern w:val="44"/>
          <w:sz w:val="44"/>
          <w:szCs w:val="24"/>
        </w:rPr>
      </w:pPr>
      <w:r>
        <w:rPr>
          <w:rFonts w:hint="eastAsia" w:ascii="方正小标宋简体" w:hAnsi="方正小标宋简体" w:eastAsia="方正小标宋简体"/>
          <w:b/>
          <w:kern w:val="44"/>
          <w:sz w:val="44"/>
          <w:szCs w:val="24"/>
        </w:rPr>
        <w:t>第四部分 2024年单位预算表</w:t>
      </w:r>
    </w:p>
    <w:p>
      <w:pPr>
        <w:spacing w:line="580" w:lineRule="exact"/>
        <w:jc w:val="both"/>
        <w:rPr>
          <w:rFonts w:hint="eastAsia" w:ascii="方正小标宋简体" w:hAnsi="方正小标宋简体" w:eastAsia="方正小标宋简体"/>
          <w:b/>
          <w:kern w:val="44"/>
          <w:sz w:val="24"/>
          <w:szCs w:val="24"/>
        </w:rPr>
      </w:pP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一、《收支总体情况表》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二、《收入总体情况表》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三、《支出总体情况表》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四、《财政拨款收支总体情况表》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五、《一般公共预算支出情况表》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六、《一般公共预算基本支出情况表》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七、《一般公共预算“三公”经费支出情况表》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八、《政府性基金预算支出情况表》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九、《国有资本经营预算支出情况表》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十、《项目支出表》</w:t>
      </w:r>
    </w:p>
    <w:p>
      <w:pPr>
        <w:spacing w:line="560" w:lineRule="exact"/>
        <w:ind w:left="480"/>
        <w:jc w:val="both"/>
        <w:rPr>
          <w:rFonts w:hint="eastAsia" w:ascii="楷体_GB2312" w:hAnsi="楷体_GB2312" w:eastAsia="楷体_GB2312"/>
          <w:b/>
          <w:kern w:val="2"/>
          <w:sz w:val="30"/>
          <w:szCs w:val="24"/>
        </w:rPr>
      </w:pP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>十一、关于空表的说明</w:t>
      </w:r>
      <w:r>
        <w:rPr>
          <w:rFonts w:hint="eastAsia" w:ascii="楷体_GB2312" w:hAnsi="楷体_GB2312" w:eastAsia="楷体_GB2312"/>
          <w:b/>
          <w:kern w:val="2"/>
          <w:sz w:val="30"/>
          <w:szCs w:val="24"/>
        </w:rPr>
        <w:tab/>
      </w:r>
    </w:p>
    <w:p>
      <w:pPr>
        <w:spacing w:line="560" w:lineRule="exact"/>
        <w:ind w:firstLine="600"/>
        <w:rPr>
          <w:rFonts w:hint="eastAsia" w:ascii="楷体_GB2312" w:hAnsi="楷体_GB2312" w:eastAsia="楷体_GB2312"/>
          <w:sz w:val="30"/>
          <w:szCs w:val="24"/>
        </w:rPr>
      </w:pPr>
      <w:r>
        <w:rPr>
          <w:rFonts w:hint="eastAsia" w:ascii="楷体_GB2312" w:hAnsi="楷体_GB2312" w:eastAsia="楷体_GB2312"/>
          <w:sz w:val="30"/>
          <w:szCs w:val="24"/>
        </w:rPr>
        <w:t>1.</w:t>
      </w:r>
      <w:r>
        <w:rPr>
          <w:rFonts w:hint="eastAsia" w:ascii="楷体_GB2312" w:hAnsi="楷体_GB2312" w:eastAsia="楷体_GB2312"/>
          <w:sz w:val="30"/>
          <w:szCs w:val="24"/>
          <w:lang w:val="zh-CN"/>
        </w:rPr>
        <w:t>天津市艺术研究所</w:t>
      </w:r>
      <w:r>
        <w:rPr>
          <w:rFonts w:hint="default" w:eastAsia="楷体_GB2312"/>
          <w:sz w:val="30"/>
          <w:szCs w:val="24"/>
        </w:rPr>
        <w:t>2024</w:t>
      </w:r>
      <w:r>
        <w:rPr>
          <w:rFonts w:hint="eastAsia" w:ascii="楷体_GB2312" w:hAnsi="楷体_GB2312" w:eastAsia="楷体_GB2312"/>
          <w:sz w:val="30"/>
          <w:szCs w:val="24"/>
        </w:rPr>
        <w:t>年政府性基金预算支出情况表为空表。</w:t>
      </w:r>
    </w:p>
    <w:p>
      <w:pPr>
        <w:spacing w:line="560" w:lineRule="exact"/>
        <w:ind w:firstLine="600"/>
        <w:rPr>
          <w:rFonts w:hint="eastAsia" w:ascii="楷体_GB2312" w:hAnsi="楷体_GB2312" w:eastAsia="楷体_GB2312"/>
          <w:sz w:val="30"/>
          <w:szCs w:val="24"/>
          <w:lang w:val="zh-CN"/>
        </w:rPr>
      </w:pPr>
      <w:r>
        <w:rPr>
          <w:rFonts w:hint="eastAsia" w:ascii="楷体_GB2312" w:hAnsi="楷体_GB2312" w:eastAsia="楷体_GB2312"/>
          <w:sz w:val="30"/>
          <w:szCs w:val="24"/>
        </w:rPr>
        <w:t>2.</w:t>
      </w:r>
      <w:r>
        <w:rPr>
          <w:rFonts w:hint="eastAsia" w:ascii="楷体_GB2312" w:hAnsi="楷体_GB2312" w:eastAsia="楷体_GB2312"/>
          <w:sz w:val="30"/>
          <w:szCs w:val="24"/>
          <w:lang w:val="zh-CN"/>
        </w:rPr>
        <w:t>天津市艺术研究所</w:t>
      </w:r>
      <w:r>
        <w:rPr>
          <w:rFonts w:hint="default" w:eastAsia="楷体_GB2312"/>
          <w:sz w:val="30"/>
          <w:szCs w:val="24"/>
        </w:rPr>
        <w:t>2024</w:t>
      </w:r>
      <w:r>
        <w:rPr>
          <w:rFonts w:hint="eastAsia" w:ascii="楷体_GB2312" w:hAnsi="楷体_GB2312" w:eastAsia="楷体_GB2312"/>
          <w:sz w:val="30"/>
          <w:szCs w:val="24"/>
        </w:rPr>
        <w:t>年国有资本经营预算支出情况表为空表。</w:t>
      </w:r>
    </w:p>
    <w:sectPr>
      <w:footerReference r:id="rId5" w:type="default"/>
      <w:pgSz w:w="12240" w:h="15840"/>
      <w:pgMar w:top="1440" w:right="1800" w:bottom="1440" w:left="1800" w:header="720" w:footer="720" w:gutter="0"/>
      <w:lnNumType w:countBy="0" w:distance="36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erif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="Times New Roman"/>
        <w:sz w:val="18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="Times New Roman"/>
        <w:sz w:val="24"/>
        <w:szCs w:val="24"/>
      </w:rPr>
    </w:pPr>
    <w:r>
      <w:rPr>
        <w:rFonts w:hint="default" w:eastAsia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鏂囨湰妗?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defaul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鏂囨湰妗? 4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OqXm5zwAAAAUBAAAPAAAAAAAAAAEAIAAAADgAAABkcnMvZG93&#10;bnJldi54bWxQSwECFAAUAAAACACHTuJAG36XEboBAABVAwAADgAAAAAAAAABACAAAAA0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eastAsia="Times New Roman"/>
                        <w:sz w:val="24"/>
                        <w:szCs w:val="24"/>
                      </w:rPr>
                    </w:pPr>
                    <w:r>
                      <w:rPr>
                        <w:rFonts w:hint="default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default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true"/>
  <w:drawingGridHorizontalOrigin w:val="1701"/>
  <w:drawingGridVerticalOrigin w:val="1984"/>
  <w:doNotShadeFormData w:val="true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4BD0209"/>
    <w:rsid w:val="75F51E6D"/>
    <w:rsid w:val="7AEC944A"/>
    <w:rsid w:val="7CFFDC51"/>
    <w:rsid w:val="7FCF1F29"/>
    <w:rsid w:val="FFBB58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宋体" w:cs="Times New Roman"/>
      <w:sz w:val="24"/>
      <w:szCs w:val="24"/>
      <w:lang w:val="en-US" w:eastAsia="zh-CN"/>
    </w:rPr>
  </w:style>
  <w:style w:type="paragraph" w:styleId="2">
    <w:name w:val="heading 1"/>
    <w:basedOn w:val="1"/>
    <w:next w:val="1"/>
    <w:link w:val="13"/>
    <w:unhideWhenUsed/>
    <w:qFormat/>
    <w:uiPriority w:val="99"/>
    <w:pPr>
      <w:outlineLvl w:val="0"/>
    </w:pPr>
    <w:rPr>
      <w:rFonts w:hint="eastAsia"/>
      <w:sz w:val="24"/>
      <w:szCs w:val="24"/>
    </w:rPr>
  </w:style>
  <w:style w:type="paragraph" w:styleId="3">
    <w:name w:val="heading 2"/>
    <w:basedOn w:val="1"/>
    <w:next w:val="1"/>
    <w:link w:val="12"/>
    <w:unhideWhenUsed/>
    <w:qFormat/>
    <w:uiPriority w:val="99"/>
    <w:pPr>
      <w:outlineLvl w:val="1"/>
    </w:pPr>
    <w:rPr>
      <w:rFonts w:hint="eastAsia"/>
      <w:sz w:val="24"/>
      <w:szCs w:val="24"/>
    </w:rPr>
  </w:style>
  <w:style w:type="character" w:default="1" w:styleId="7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hint="eastAsia"/>
      <w:sz w:val="24"/>
      <w:szCs w:val="24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both"/>
    </w:pPr>
    <w:rPr>
      <w:rFonts w:hint="eastAsia"/>
      <w:sz w:val="24"/>
      <w:szCs w:val="24"/>
    </w:rPr>
  </w:style>
  <w:style w:type="character" w:customStyle="1" w:styleId="8">
    <w:name w:val="页脚 字符"/>
    <w:basedOn w:val="7"/>
    <w:link w:val="4"/>
    <w:unhideWhenUsed/>
    <w:qFormat/>
    <w:locked/>
    <w:uiPriority w:val="99"/>
    <w:rPr>
      <w:rFonts w:hint="default" w:ascii="Times New Roman" w:hAnsi="Times New Roman" w:eastAsia="宋体"/>
      <w:sz w:val="18"/>
      <w:szCs w:val="24"/>
    </w:rPr>
  </w:style>
  <w:style w:type="character" w:customStyle="1" w:styleId="9">
    <w:name w:val="页眉 字符1"/>
    <w:basedOn w:val="7"/>
    <w:unhideWhenUsed/>
    <w:qFormat/>
    <w:uiPriority w:val="99"/>
    <w:rPr>
      <w:rFonts w:hint="default" w:ascii="Times New Roman" w:hAnsi="Times New Roman" w:eastAsia="宋体"/>
      <w:sz w:val="18"/>
      <w:szCs w:val="24"/>
    </w:rPr>
  </w:style>
  <w:style w:type="character" w:customStyle="1" w:styleId="10">
    <w:name w:val="页脚 字符1"/>
    <w:basedOn w:val="7"/>
    <w:unhideWhenUsed/>
    <w:qFormat/>
    <w:uiPriority w:val="99"/>
    <w:rPr>
      <w:rFonts w:hint="default" w:ascii="Times New Roman" w:hAnsi="Times New Roman" w:eastAsia="宋体"/>
      <w:sz w:val="18"/>
      <w:szCs w:val="24"/>
    </w:rPr>
  </w:style>
  <w:style w:type="character" w:customStyle="1" w:styleId="11">
    <w:name w:val="页眉 字符"/>
    <w:basedOn w:val="7"/>
    <w:link w:val="5"/>
    <w:unhideWhenUsed/>
    <w:qFormat/>
    <w:locked/>
    <w:uiPriority w:val="99"/>
    <w:rPr>
      <w:rFonts w:hint="default" w:ascii="Times New Roman" w:hAnsi="Times New Roman" w:eastAsia="宋体"/>
      <w:sz w:val="18"/>
      <w:szCs w:val="24"/>
    </w:rPr>
  </w:style>
  <w:style w:type="character" w:customStyle="1" w:styleId="12">
    <w:name w:val="标题 2 字符"/>
    <w:basedOn w:val="7"/>
    <w:link w:val="3"/>
    <w:unhideWhenUsed/>
    <w:qFormat/>
    <w:locked/>
    <w:uiPriority w:val="9"/>
    <w:rPr>
      <w:rFonts w:hint="eastAsia" w:ascii="等线 Light" w:hAnsi="等线 Light" w:eastAsia="等线 Light"/>
      <w:b/>
      <w:sz w:val="32"/>
      <w:szCs w:val="24"/>
    </w:rPr>
  </w:style>
  <w:style w:type="character" w:customStyle="1" w:styleId="13">
    <w:name w:val="标题 1 字符"/>
    <w:basedOn w:val="7"/>
    <w:link w:val="2"/>
    <w:unhideWhenUsed/>
    <w:qFormat/>
    <w:locked/>
    <w:uiPriority w:val="9"/>
    <w:rPr>
      <w:rFonts w:hint="default" w:ascii="Times New Roman" w:hAnsi="Times New Roman" w:eastAsia="宋体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Office_11.8.2.10229_F1E327BC-269C-435d-A152-05C5408002CA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2024-03-06T22:40:00Z</dcterms:created>
  <dc:creator>kylin</dc:creator>
  <cp:lastModifiedBy>kylin</cp:lastModifiedBy>
  <dcterms:modified xsi:type="dcterms:W3CDTF">2024-03-06T16:22:39Z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