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方正小标宋_GBK" w:eastAsia="方正小标宋简体" w:cs="方正小标宋_GBK"/>
          <w:color w:val="000000"/>
          <w:sz w:val="56"/>
          <w:lang w:eastAsia="zh-CN"/>
        </w:rPr>
      </w:pPr>
      <w:r>
        <w:rPr>
          <w:rFonts w:ascii="方正小标宋简体" w:hAnsi="方正小标宋_GBK" w:eastAsia="方正小标宋简体" w:cs="方正小标宋_GBK"/>
          <w:color w:val="000000"/>
          <w:sz w:val="56"/>
          <w:lang w:eastAsia="zh-CN"/>
        </w:rPr>
        <w:t xml:space="preserve"> </w:t>
      </w:r>
    </w:p>
    <w:p>
      <w:pPr>
        <w:jc w:val="center"/>
        <w:rPr>
          <w:rFonts w:ascii="方正小标宋简体" w:hAnsi="方正小标宋_GBK" w:eastAsia="方正小标宋简体" w:cs="方正小标宋_GBK"/>
          <w:color w:val="000000"/>
          <w:sz w:val="56"/>
          <w:lang w:eastAsia="zh-CN"/>
        </w:rPr>
      </w:pPr>
      <w:r>
        <w:rPr>
          <w:rFonts w:ascii="方正小标宋简体" w:hAnsi="方正小标宋_GBK" w:eastAsia="方正小标宋简体" w:cs="方正小标宋_GBK"/>
          <w:color w:val="000000"/>
          <w:sz w:val="56"/>
          <w:lang w:eastAsia="zh-CN"/>
        </w:rPr>
        <w:t xml:space="preserve"> </w:t>
      </w:r>
    </w:p>
    <w:p>
      <w:pPr>
        <w:jc w:val="center"/>
        <w:rPr>
          <w:rFonts w:ascii="方正小标宋简体" w:hAnsi="方正小标宋_GBK" w:eastAsia="方正小标宋简体" w:cs="方正小标宋_GBK"/>
          <w:color w:val="000000"/>
          <w:sz w:val="56"/>
          <w:lang w:eastAsia="zh-CN"/>
        </w:rPr>
      </w:pPr>
      <w:r>
        <w:rPr>
          <w:rFonts w:ascii="方正小标宋简体" w:hAnsi="方正小标宋_GBK" w:eastAsia="方正小标宋简体" w:cs="方正小标宋_GBK"/>
          <w:color w:val="000000"/>
          <w:sz w:val="56"/>
          <w:lang w:eastAsia="zh-CN"/>
        </w:rPr>
        <w:t xml:space="preserve"> </w:t>
      </w:r>
    </w:p>
    <w:p>
      <w:pPr>
        <w:jc w:val="center"/>
      </w:pPr>
      <w:r>
        <w:rPr>
          <w:rFonts w:hint="eastAsia" w:ascii="方正小标宋简体" w:hAnsi="方正小标宋_GBK" w:eastAsia="方正小标宋简体" w:cs="方正小标宋_GBK"/>
          <w:color w:val="000000"/>
          <w:sz w:val="56"/>
          <w:lang w:eastAsia="zh-CN"/>
        </w:rPr>
        <w:t>天津市艺术研究</w:t>
      </w:r>
      <w:bookmarkStart w:id="15" w:name="_GoBack"/>
      <w:bookmarkEnd w:id="15"/>
      <w:r>
        <w:rPr>
          <w:rFonts w:hint="eastAsia" w:ascii="方正小标宋简体" w:hAnsi="方正小标宋_GBK" w:eastAsia="方正小标宋简体" w:cs="方正小标宋_GBK"/>
          <w:sz w:val="56"/>
          <w:szCs w:val="56"/>
        </w:rPr>
        <w:t>所</w:t>
      </w:r>
    </w:p>
    <w:p>
      <w:pPr>
        <w:jc w:val="center"/>
        <w:rPr>
          <w:rFonts w:ascii="方正小标宋简体" w:eastAsia="方正小标宋简体"/>
          <w:sz w:val="56"/>
          <w:szCs w:val="56"/>
        </w:rPr>
      </w:pPr>
      <w:r>
        <w:rPr>
          <w:rFonts w:hint="eastAsia" w:ascii="方正小标宋简体" w:hAnsi="方正小标宋_GBK" w:eastAsia="方正小标宋简体" w:cs="方正小标宋_GBK"/>
          <w:sz w:val="56"/>
          <w:szCs w:val="56"/>
        </w:rPr>
        <w:t>项目支出绩效目标表</w:t>
      </w:r>
    </w:p>
    <w:p>
      <w:pPr>
        <w:jc w:val="center"/>
        <w:rPr>
          <w:rFonts w:ascii="方正小标宋简体" w:eastAsia="方正小标宋简体"/>
          <w:sz w:val="56"/>
          <w:szCs w:val="56"/>
        </w:rPr>
      </w:pPr>
      <w:r>
        <w:rPr>
          <w:rFonts w:hint="eastAsia" w:ascii="方正小标宋简体" w:hAnsi="方正小标宋_GBK" w:eastAsia="方正小标宋简体" w:cs="方正小标宋_GBK"/>
          <w:sz w:val="56"/>
          <w:szCs w:val="56"/>
        </w:rPr>
        <w:t>（2025年）</w:t>
      </w: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pPr>
    </w:p>
    <w:p>
      <w:pPr>
        <w:jc w:val="center"/>
        <w:sectPr>
          <w:pgSz w:w="11900" w:h="16840"/>
          <w:pgMar w:top="1984" w:right="1304" w:bottom="1134" w:left="1304" w:header="720" w:footer="720" w:gutter="0"/>
          <w:cols w:space="720" w:num="1"/>
          <w:titlePg/>
        </w:sectPr>
      </w:pPr>
    </w:p>
    <w:p>
      <w:pPr>
        <w:jc w:val="center"/>
      </w:pPr>
    </w:p>
    <w:p>
      <w:pPr>
        <w:jc w:val="center"/>
        <w:outlineLvl w:val="0"/>
      </w:pPr>
      <w:r>
        <w:rPr>
          <w:rFonts w:ascii="方正小标宋_GBK" w:hAnsi="方正小标宋_GBK" w:eastAsia="方正小标宋_GBK" w:cs="方正小标宋_GBK"/>
          <w:sz w:val="36"/>
        </w:rPr>
        <w:t>目    录</w:t>
      </w:r>
    </w:p>
    <w:p>
      <w:pPr>
        <w:jc w:val="center"/>
      </w:pPr>
    </w:p>
    <w:p>
      <w:pPr>
        <w:pStyle w:val="17"/>
        <w:tabs>
          <w:tab w:val="right" w:leader="dot" w:pos="9282"/>
        </w:tabs>
      </w:pPr>
      <w:r>
        <w:fldChar w:fldCharType="begin"/>
      </w:r>
      <w:r>
        <w:instrText xml:space="preserve">TOC \o "4-4" \h \z \u</w:instrText>
      </w:r>
      <w:r>
        <w:fldChar w:fldCharType="separate"/>
      </w:r>
      <w:r>
        <w:fldChar w:fldCharType="begin"/>
      </w:r>
      <w:r>
        <w:instrText xml:space="preserve"> HYPERLINK \l "_Toc_4_4_0000000148" </w:instrText>
      </w:r>
      <w:r>
        <w:fldChar w:fldCharType="separate"/>
      </w:r>
      <w:r>
        <w:t xml:space="preserve">1.2025年“运河记忆”非遗展绩效目标表             </w:t>
      </w:r>
      <w:r>
        <w:fldChar w:fldCharType="end"/>
      </w:r>
    </w:p>
    <w:p>
      <w:pPr>
        <w:pStyle w:val="17"/>
        <w:tabs>
          <w:tab w:val="right" w:leader="dot" w:pos="9282"/>
        </w:tabs>
      </w:pPr>
      <w:r>
        <w:fldChar w:fldCharType="begin"/>
      </w:r>
      <w:r>
        <w:instrText xml:space="preserve"> HYPERLINK \l "_Toc_4_4_0000000149" </w:instrText>
      </w:r>
      <w:r>
        <w:fldChar w:fldCharType="separate"/>
      </w:r>
      <w:r>
        <w:rPr>
          <w:rFonts w:hint="eastAsia"/>
          <w:lang w:val="en-US" w:eastAsia="zh-CN"/>
        </w:rPr>
        <w:t>2</w:t>
      </w:r>
      <w:r>
        <w:t xml:space="preserve">.2025年度天津市艺术科学规划项目绩效目标表             </w:t>
      </w:r>
      <w:r>
        <w:fldChar w:fldCharType="end"/>
      </w:r>
    </w:p>
    <w:p>
      <w:pPr>
        <w:pStyle w:val="17"/>
        <w:tabs>
          <w:tab w:val="right" w:leader="dot" w:pos="9282"/>
        </w:tabs>
      </w:pPr>
      <w:r>
        <w:fldChar w:fldCharType="begin"/>
      </w:r>
      <w:r>
        <w:instrText xml:space="preserve"> HYPERLINK \l "_Toc_4_4_0000000150" </w:instrText>
      </w:r>
      <w:r>
        <w:fldChar w:fldCharType="separate"/>
      </w:r>
      <w:r>
        <w:rPr>
          <w:rFonts w:hint="eastAsia"/>
          <w:lang w:val="en-US" w:eastAsia="zh-CN"/>
        </w:rPr>
        <w:t>3</w:t>
      </w:r>
      <w:r>
        <w:t xml:space="preserve">.2025年市级非遗代表性传承人补助经费绩效目标表             </w:t>
      </w:r>
      <w:r>
        <w:fldChar w:fldCharType="end"/>
      </w:r>
    </w:p>
    <w:p>
      <w:pPr>
        <w:pStyle w:val="17"/>
        <w:tabs>
          <w:tab w:val="right" w:leader="dot" w:pos="9282"/>
        </w:tabs>
      </w:pPr>
      <w:r>
        <w:fldChar w:fldCharType="begin"/>
      </w:r>
      <w:r>
        <w:instrText xml:space="preserve"> HYPERLINK \l "_Toc_4_4_0000000151" </w:instrText>
      </w:r>
      <w:r>
        <w:fldChar w:fldCharType="separate"/>
      </w:r>
      <w:r>
        <w:rPr>
          <w:rFonts w:hint="eastAsia"/>
          <w:lang w:val="en-US" w:eastAsia="zh-CN"/>
        </w:rPr>
        <w:t>4</w:t>
      </w:r>
      <w:r>
        <w:t xml:space="preserve">.非财政拨款项目支出-国家社科基金艺术学重大项目子课题《北方曲艺文献整理研究》绩效目标表            </w:t>
      </w:r>
      <w:r>
        <w:fldChar w:fldCharType="end"/>
      </w:r>
    </w:p>
    <w:p>
      <w:pPr>
        <w:pStyle w:val="17"/>
        <w:tabs>
          <w:tab w:val="right" w:leader="dot" w:pos="9282"/>
        </w:tabs>
      </w:pPr>
      <w:r>
        <w:fldChar w:fldCharType="begin"/>
      </w:r>
      <w:r>
        <w:instrText xml:space="preserve"> HYPERLINK \l "_Toc_4_4_0000000152" </w:instrText>
      </w:r>
      <w:r>
        <w:fldChar w:fldCharType="separate"/>
      </w:r>
      <w:r>
        <w:rPr>
          <w:rFonts w:hint="eastAsia"/>
          <w:lang w:val="en-US" w:eastAsia="zh-CN"/>
        </w:rPr>
        <w:t>5</w:t>
      </w:r>
      <w:r>
        <w:t xml:space="preserve">.非财政拨款项目支出-民营曲艺演出团体的现状与发展研究绩效目标表             </w:t>
      </w:r>
      <w:r>
        <w:fldChar w:fldCharType="end"/>
      </w:r>
    </w:p>
    <w:p>
      <w:pPr>
        <w:pStyle w:val="17"/>
        <w:tabs>
          <w:tab w:val="right" w:leader="dot" w:pos="9282"/>
        </w:tabs>
      </w:pPr>
      <w:r>
        <w:fldChar w:fldCharType="begin"/>
      </w:r>
      <w:r>
        <w:instrText xml:space="preserve"> HYPERLINK \l "_Toc_4_4_0000000153" </w:instrText>
      </w:r>
      <w:r>
        <w:fldChar w:fldCharType="separate"/>
      </w:r>
      <w:r>
        <w:rPr>
          <w:rFonts w:hint="eastAsia"/>
          <w:lang w:val="en-US" w:eastAsia="zh-CN"/>
        </w:rPr>
        <w:t>6</w:t>
      </w:r>
      <w:r>
        <w:t xml:space="preserve">.非财政拨款项目支出-文化和旅游部部级社科研究项目相关工作（委托）绩效目标表            </w:t>
      </w:r>
      <w:r>
        <w:fldChar w:fldCharType="end"/>
      </w:r>
    </w:p>
    <w:p>
      <w:pPr>
        <w:pStyle w:val="17"/>
        <w:tabs>
          <w:tab w:val="right" w:leader="dot" w:pos="9282"/>
        </w:tabs>
      </w:pPr>
      <w:r>
        <w:fldChar w:fldCharType="begin"/>
      </w:r>
      <w:r>
        <w:instrText xml:space="preserve"> HYPERLINK \l "_Toc_4_4_0000000154" </w:instrText>
      </w:r>
      <w:r>
        <w:fldChar w:fldCharType="separate"/>
      </w:r>
      <w:r>
        <w:rPr>
          <w:rFonts w:hint="eastAsia"/>
          <w:lang w:val="en-US" w:eastAsia="zh-CN"/>
        </w:rPr>
        <w:t>7</w:t>
      </w:r>
      <w:r>
        <w:t xml:space="preserve">.非财政拨款项目支出-文化和旅游系统青年科研人才扶持项目绩效目标表             </w:t>
      </w:r>
      <w:r>
        <w:fldChar w:fldCharType="end"/>
      </w:r>
    </w:p>
    <w:p>
      <w:pPr>
        <w:pStyle w:val="17"/>
        <w:tabs>
          <w:tab w:val="right" w:leader="dot" w:pos="9282"/>
        </w:tabs>
      </w:pPr>
      <w:r>
        <w:fldChar w:fldCharType="begin"/>
      </w:r>
      <w:r>
        <w:instrText xml:space="preserve"> HYPERLINK \l "_Toc_4_4_0000000155" </w:instrText>
      </w:r>
      <w:r>
        <w:fldChar w:fldCharType="separate"/>
      </w:r>
      <w:r>
        <w:rPr>
          <w:rFonts w:hint="eastAsia"/>
          <w:lang w:val="en-US" w:eastAsia="zh-CN"/>
        </w:rPr>
        <w:t>8</w:t>
      </w:r>
      <w:r>
        <w:t xml:space="preserve">.非财政拨款项目支出-艺术研究及成果出版项目绩效目标表             </w:t>
      </w:r>
      <w:r>
        <w:fldChar w:fldCharType="end"/>
      </w:r>
    </w:p>
    <w:p>
      <w:pPr>
        <w:pStyle w:val="17"/>
        <w:tabs>
          <w:tab w:val="right" w:leader="dot" w:pos="9282"/>
        </w:tabs>
      </w:pPr>
      <w:r>
        <w:fldChar w:fldCharType="begin"/>
      </w:r>
      <w:r>
        <w:instrText xml:space="preserve"> HYPERLINK \l "_Toc_4_4_0000000156" </w:instrText>
      </w:r>
      <w:r>
        <w:fldChar w:fldCharType="separate"/>
      </w:r>
      <w:r>
        <w:rPr>
          <w:rFonts w:hint="eastAsia"/>
          <w:lang w:val="en-US" w:eastAsia="zh-CN"/>
        </w:rPr>
        <w:t>9</w:t>
      </w:r>
      <w:r>
        <w:t xml:space="preserve">.国家级非遗代表性传承人补助经费（2025年国家非物质文化遗产保护资金）-中央绩效目标表             </w:t>
      </w:r>
      <w:r>
        <w:fldChar w:fldCharType="end"/>
      </w:r>
    </w:p>
    <w:p>
      <w:pPr>
        <w:pStyle w:val="17"/>
        <w:tabs>
          <w:tab w:val="right" w:leader="dot" w:pos="9282"/>
        </w:tabs>
      </w:pPr>
      <w:r>
        <w:fldChar w:fldCharType="begin"/>
      </w:r>
      <w:r>
        <w:instrText xml:space="preserve"> HYPERLINK \l "_Toc_4_4_0000000157" </w:instrText>
      </w:r>
      <w:r>
        <w:fldChar w:fldCharType="separate"/>
      </w:r>
      <w:r>
        <w:t>1</w:t>
      </w:r>
      <w:r>
        <w:rPr>
          <w:rFonts w:hint="eastAsia"/>
          <w:lang w:val="en-US" w:eastAsia="zh-CN"/>
        </w:rPr>
        <w:t>0</w:t>
      </w:r>
      <w:r>
        <w:t xml:space="preserve">.国家级非遗代表性传承人记录经费（2024年国家非物质文化遗产保护资金）-中央（第二批）绩效目标表             </w:t>
      </w:r>
      <w:r>
        <w:fldChar w:fldCharType="end"/>
      </w:r>
    </w:p>
    <w:p>
      <w:pPr>
        <w:pStyle w:val="17"/>
        <w:tabs>
          <w:tab w:val="right" w:leader="dot" w:pos="9282"/>
        </w:tabs>
      </w:pPr>
      <w:r>
        <w:fldChar w:fldCharType="begin"/>
      </w:r>
      <w:r>
        <w:instrText xml:space="preserve"> HYPERLINK \l "_Toc_4_4_0000000158" </w:instrText>
      </w:r>
      <w:r>
        <w:fldChar w:fldCharType="separate"/>
      </w:r>
      <w:r>
        <w:t>1</w:t>
      </w:r>
      <w:r>
        <w:rPr>
          <w:rFonts w:hint="eastAsia"/>
          <w:lang w:val="en-US" w:eastAsia="zh-CN"/>
        </w:rPr>
        <w:t>1</w:t>
      </w:r>
      <w:r>
        <w:t xml:space="preserve">.国家级非遗代表性传承人记录经费（2025年国家非物质文化遗产保护资金）-中央绩效目标表             </w:t>
      </w:r>
      <w:r>
        <w:fldChar w:fldCharType="end"/>
      </w:r>
    </w:p>
    <w:p>
      <w:pPr>
        <w:pStyle w:val="17"/>
        <w:tabs>
          <w:tab w:val="right" w:leader="dot" w:pos="9282"/>
        </w:tabs>
      </w:pPr>
      <w:r>
        <w:fldChar w:fldCharType="begin"/>
      </w:r>
      <w:r>
        <w:instrText xml:space="preserve"> HYPERLINK \l "_Toc_4_4_0000000159" </w:instrText>
      </w:r>
      <w:r>
        <w:fldChar w:fldCharType="separate"/>
      </w:r>
      <w:r>
        <w:t>1</w:t>
      </w:r>
      <w:r>
        <w:rPr>
          <w:rFonts w:hint="eastAsia"/>
          <w:lang w:val="en-US" w:eastAsia="zh-CN"/>
        </w:rPr>
        <w:t>2</w:t>
      </w:r>
      <w:r>
        <w:t xml:space="preserve">.市级（国家级）非遗代表性传承人传承活动评估绩效目标表         </w:t>
      </w:r>
      <w:r>
        <w:fldChar w:fldCharType="end"/>
      </w:r>
    </w:p>
    <w:p>
      <w:pPr>
        <w:pStyle w:val="17"/>
        <w:tabs>
          <w:tab w:val="right" w:leader="dot" w:pos="9282"/>
        </w:tabs>
      </w:pPr>
      <w:r>
        <w:fldChar w:fldCharType="begin"/>
      </w:r>
      <w:r>
        <w:instrText xml:space="preserve"> HYPERLINK \l "_Toc_4_4_0000000160" </w:instrText>
      </w:r>
      <w:r>
        <w:fldChar w:fldCharType="separate"/>
      </w:r>
      <w:r>
        <w:t>1</w:t>
      </w:r>
      <w:r>
        <w:rPr>
          <w:rFonts w:hint="eastAsia"/>
          <w:lang w:val="en-US" w:eastAsia="zh-CN"/>
        </w:rPr>
        <w:t>3</w:t>
      </w:r>
      <w:r>
        <w:t xml:space="preserve">.文旅宣传-CCTV-1《非遗里的中国》广告等项目经费绩效目标表             </w:t>
      </w:r>
      <w:r>
        <w:fldChar w:fldCharType="end"/>
      </w:r>
    </w:p>
    <w:p>
      <w:pPr>
        <w:pStyle w:val="17"/>
        <w:tabs>
          <w:tab w:val="right" w:leader="dot" w:pos="9282"/>
        </w:tabs>
      </w:pPr>
      <w:r>
        <w:fldChar w:fldCharType="begin"/>
      </w:r>
      <w:r>
        <w:instrText xml:space="preserve"> HYPERLINK \l "_Toc_4_4_0000000161" </w:instrText>
      </w:r>
      <w:r>
        <w:fldChar w:fldCharType="separate"/>
      </w:r>
      <w:r>
        <w:t>1</w:t>
      </w:r>
      <w:r>
        <w:rPr>
          <w:rFonts w:hint="eastAsia"/>
          <w:lang w:val="en-US" w:eastAsia="zh-CN"/>
        </w:rPr>
        <w:t>4</w:t>
      </w:r>
      <w:r>
        <w:t xml:space="preserve">.文旅宣传-文化进万家——视频直播家乡年绩效目标表            </w:t>
      </w:r>
      <w:r>
        <w:fldChar w:fldCharType="end"/>
      </w:r>
    </w:p>
    <w:p>
      <w:pPr>
        <w:pStyle w:val="17"/>
        <w:tabs>
          <w:tab w:val="right" w:leader="dot" w:pos="9282"/>
        </w:tabs>
      </w:pPr>
      <w:r>
        <w:fldChar w:fldCharType="begin"/>
      </w:r>
      <w:r>
        <w:instrText xml:space="preserve"> HYPERLINK \l "_Toc_4_4_0000000162" </w:instrText>
      </w:r>
      <w:r>
        <w:fldChar w:fldCharType="separate"/>
      </w:r>
      <w:r>
        <w:t xml:space="preserve">15.援疆非遗展等参展项目绩效目标表            </w:t>
      </w:r>
      <w:r>
        <w:fldChar w:fldCharType="end"/>
      </w:r>
    </w:p>
    <w:p>
      <w:pPr>
        <w:pStyle w:val="17"/>
        <w:tabs>
          <w:tab w:val="right" w:leader="dot" w:pos="9282"/>
        </w:tabs>
      </w:pPr>
    </w:p>
    <w:p>
      <w:pPr>
        <w:sectPr>
          <w:footerReference r:id="rId3" w:type="default"/>
          <w:footerReference r:id="rId4" w:type="even"/>
          <w:pgSz w:w="11900" w:h="16840"/>
          <w:pgMar w:top="1984" w:right="1304" w:bottom="1134" w:left="1304" w:header="720" w:footer="720" w:gutter="0"/>
          <w:cols w:space="720" w:num="1"/>
        </w:sectPr>
      </w:pPr>
      <w:r>
        <w:fldChar w:fldCharType="end"/>
      </w:r>
    </w:p>
    <w:p>
      <w:pPr>
        <w:jc w:val="center"/>
      </w:pPr>
    </w:p>
    <w:p>
      <w:pPr>
        <w:ind w:firstLine="560"/>
        <w:outlineLvl w:val="3"/>
      </w:pPr>
      <w:bookmarkStart w:id="0" w:name="_Toc_4_4_0000000148"/>
      <w:r>
        <w:rPr>
          <w:rFonts w:ascii="方正仿宋_GBK" w:hAnsi="方正仿宋_GBK" w:eastAsia="方正仿宋_GBK" w:cs="方正仿宋_GBK"/>
          <w:sz w:val="28"/>
        </w:rPr>
        <w:t>1.2025年“运河记忆”非遗展绩效目标表</w:t>
      </w:r>
      <w:bookmarkEnd w:id="0"/>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2025年“运河记忆”非遗展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10.00</w:t>
            </w:r>
          </w:p>
        </w:tc>
        <w:tc>
          <w:tcPr>
            <w:tcW w:w="1587" w:type="dxa"/>
            <w:vAlign w:val="center"/>
          </w:tcPr>
          <w:p>
            <w:pPr>
              <w:pStyle w:val="13"/>
            </w:pPr>
            <w:r>
              <w:t>其中：财政    资金</w:t>
            </w:r>
          </w:p>
        </w:tc>
        <w:tc>
          <w:tcPr>
            <w:tcW w:w="1843" w:type="dxa"/>
            <w:vAlign w:val="center"/>
          </w:tcPr>
          <w:p>
            <w:pPr>
              <w:pStyle w:val="12"/>
            </w:pPr>
            <w:r>
              <w:t>10.00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支付举办展览相关费用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对大运河流经的武清区、静海区、北辰区、西青区、红桥区、南开区、河北区的非物质文化遗产项目的历史发展脉络和当前发展状况进行展示。充分展现大运河沿线非物质文化遗产项目的民族精神，保护、挖掘和阐释，传承弘扬中华民族优秀传统文化的价值内核，推动非物质文化遗产主动服务和融入社会经济可持续发展与重大国家战略。</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展览次数</w:t>
            </w:r>
          </w:p>
        </w:tc>
        <w:tc>
          <w:tcPr>
            <w:tcW w:w="3430" w:type="dxa"/>
            <w:vAlign w:val="center"/>
          </w:tcPr>
          <w:p>
            <w:pPr>
              <w:pStyle w:val="12"/>
            </w:pPr>
            <w:r>
              <w:t>展览次数</w:t>
            </w:r>
          </w:p>
        </w:tc>
        <w:tc>
          <w:tcPr>
            <w:tcW w:w="2551" w:type="dxa"/>
            <w:vAlign w:val="center"/>
          </w:tcPr>
          <w:p>
            <w:pPr>
              <w:pStyle w:val="12"/>
            </w:pPr>
            <w:r>
              <w:t>1次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参展项目</w:t>
            </w:r>
          </w:p>
        </w:tc>
        <w:tc>
          <w:tcPr>
            <w:tcW w:w="3430" w:type="dxa"/>
            <w:vAlign w:val="center"/>
          </w:tcPr>
          <w:p>
            <w:pPr>
              <w:pStyle w:val="12"/>
            </w:pPr>
            <w:r>
              <w:t>参展项目</w:t>
            </w:r>
          </w:p>
        </w:tc>
        <w:tc>
          <w:tcPr>
            <w:tcW w:w="2551" w:type="dxa"/>
            <w:vAlign w:val="center"/>
          </w:tcPr>
          <w:p>
            <w:pPr>
              <w:pStyle w:val="12"/>
            </w:pPr>
            <w:r>
              <w:t>≥20个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展览面积</w:t>
            </w:r>
          </w:p>
        </w:tc>
        <w:tc>
          <w:tcPr>
            <w:tcW w:w="3430" w:type="dxa"/>
            <w:vAlign w:val="center"/>
          </w:tcPr>
          <w:p>
            <w:pPr>
              <w:pStyle w:val="12"/>
            </w:pPr>
            <w:r>
              <w:t>展览面积</w:t>
            </w:r>
          </w:p>
        </w:tc>
        <w:tc>
          <w:tcPr>
            <w:tcW w:w="2551" w:type="dxa"/>
            <w:vAlign w:val="center"/>
          </w:tcPr>
          <w:p>
            <w:pPr>
              <w:pStyle w:val="12"/>
            </w:pPr>
            <w:r>
              <w:t>≥100平方米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展览举办成功率</w:t>
            </w:r>
          </w:p>
        </w:tc>
        <w:tc>
          <w:tcPr>
            <w:tcW w:w="3430" w:type="dxa"/>
            <w:vAlign w:val="center"/>
          </w:tcPr>
          <w:p>
            <w:pPr>
              <w:pStyle w:val="12"/>
            </w:pPr>
            <w:r>
              <w:t>展览举办成功率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展览完成时间</w:t>
            </w:r>
          </w:p>
        </w:tc>
        <w:tc>
          <w:tcPr>
            <w:tcW w:w="3430" w:type="dxa"/>
            <w:vAlign w:val="center"/>
          </w:tcPr>
          <w:p>
            <w:pPr>
              <w:pStyle w:val="12"/>
            </w:pPr>
            <w:r>
              <w:t>展览完成时间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展览设计费</w:t>
            </w:r>
          </w:p>
        </w:tc>
        <w:tc>
          <w:tcPr>
            <w:tcW w:w="3430" w:type="dxa"/>
            <w:vAlign w:val="center"/>
          </w:tcPr>
          <w:p>
            <w:pPr>
              <w:pStyle w:val="12"/>
            </w:pPr>
            <w:r>
              <w:t>展览设计费</w:t>
            </w:r>
          </w:p>
        </w:tc>
        <w:tc>
          <w:tcPr>
            <w:tcW w:w="2551" w:type="dxa"/>
            <w:vAlign w:val="center"/>
          </w:tcPr>
          <w:p>
            <w:pPr>
              <w:pStyle w:val="12"/>
            </w:pPr>
            <w:r>
              <w:t>≤6万元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展览及其他支出</w:t>
            </w:r>
          </w:p>
        </w:tc>
        <w:tc>
          <w:tcPr>
            <w:tcW w:w="3430" w:type="dxa"/>
            <w:vAlign w:val="center"/>
          </w:tcPr>
          <w:p>
            <w:pPr>
              <w:pStyle w:val="12"/>
            </w:pPr>
            <w:r>
              <w:t>展览及其他支出</w:t>
            </w:r>
          </w:p>
        </w:tc>
        <w:tc>
          <w:tcPr>
            <w:tcW w:w="2551" w:type="dxa"/>
            <w:vAlign w:val="center"/>
          </w:tcPr>
          <w:p>
            <w:pPr>
              <w:pStyle w:val="12"/>
            </w:pPr>
            <w:r>
              <w:t>≤4万元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宣传展示天津非物质保护成果</w:t>
            </w:r>
          </w:p>
        </w:tc>
        <w:tc>
          <w:tcPr>
            <w:tcW w:w="3430" w:type="dxa"/>
            <w:vAlign w:val="center"/>
          </w:tcPr>
          <w:p>
            <w:pPr>
              <w:pStyle w:val="12"/>
            </w:pPr>
            <w:r>
              <w:t>宣传展示天津非物质保护成果</w:t>
            </w:r>
          </w:p>
        </w:tc>
        <w:tc>
          <w:tcPr>
            <w:tcW w:w="2551" w:type="dxa"/>
            <w:vAlign w:val="center"/>
          </w:tcPr>
          <w:p>
            <w:pPr>
              <w:pStyle w:val="12"/>
            </w:pPr>
            <w:r>
              <w:t>充分展示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参展观众满意度</w:t>
            </w:r>
          </w:p>
        </w:tc>
        <w:tc>
          <w:tcPr>
            <w:tcW w:w="3430" w:type="dxa"/>
            <w:vAlign w:val="center"/>
          </w:tcPr>
          <w:p>
            <w:pPr>
              <w:pStyle w:val="12"/>
            </w:pPr>
            <w:r>
              <w:t>参展观众满意度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1" w:name="_Toc_4_4_0000000149"/>
      <w:r>
        <w:rPr>
          <w:rFonts w:hint="eastAsia" w:ascii="方正仿宋_GBK" w:hAnsi="方正仿宋_GBK" w:eastAsia="方正仿宋_GBK" w:cs="方正仿宋_GBK"/>
          <w:sz w:val="28"/>
          <w:lang w:val="en-US" w:eastAsia="zh-CN"/>
        </w:rPr>
        <w:t>2</w:t>
      </w:r>
      <w:r>
        <w:rPr>
          <w:rFonts w:ascii="方正仿宋_GBK" w:hAnsi="方正仿宋_GBK" w:eastAsia="方正仿宋_GBK" w:cs="方正仿宋_GBK"/>
          <w:sz w:val="28"/>
        </w:rPr>
        <w:t>.2025年度天津市艺术科学规划项目绩效目标表</w:t>
      </w:r>
      <w:bookmarkEnd w:id="1"/>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2025年度天津市艺术科学规划项目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20.00</w:t>
            </w:r>
          </w:p>
        </w:tc>
        <w:tc>
          <w:tcPr>
            <w:tcW w:w="1587" w:type="dxa"/>
            <w:vAlign w:val="center"/>
          </w:tcPr>
          <w:p>
            <w:pPr>
              <w:pStyle w:val="13"/>
            </w:pPr>
            <w:r>
              <w:t>其中：财政    资金</w:t>
            </w:r>
          </w:p>
        </w:tc>
        <w:tc>
          <w:tcPr>
            <w:tcW w:w="1843" w:type="dxa"/>
            <w:vAlign w:val="center"/>
          </w:tcPr>
          <w:p>
            <w:pPr>
              <w:pStyle w:val="12"/>
            </w:pPr>
            <w:r>
              <w:t>20.00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支付项目相关费用。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1.通过聘请专家对第十届天津市艺术科学规划项目进行评审，推动全市各高校和文化艺术研究机构开展文艺研究，为天津市艺术学科服务，为天津文旅事业发展服务</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接受申报主体数量</w:t>
            </w:r>
          </w:p>
        </w:tc>
        <w:tc>
          <w:tcPr>
            <w:tcW w:w="3430" w:type="dxa"/>
            <w:vAlign w:val="center"/>
          </w:tcPr>
          <w:p>
            <w:pPr>
              <w:pStyle w:val="12"/>
            </w:pPr>
            <w:r>
              <w:t>接受申报主体数量</w:t>
            </w:r>
          </w:p>
        </w:tc>
        <w:tc>
          <w:tcPr>
            <w:tcW w:w="2551" w:type="dxa"/>
            <w:vAlign w:val="center"/>
          </w:tcPr>
          <w:p>
            <w:pPr>
              <w:pStyle w:val="12"/>
            </w:pPr>
            <w:r>
              <w:t>≥30个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聘请专家数量</w:t>
            </w:r>
          </w:p>
        </w:tc>
        <w:tc>
          <w:tcPr>
            <w:tcW w:w="3430" w:type="dxa"/>
            <w:vAlign w:val="center"/>
          </w:tcPr>
          <w:p>
            <w:pPr>
              <w:pStyle w:val="12"/>
            </w:pPr>
            <w:r>
              <w:t>聘请专家数量</w:t>
            </w:r>
          </w:p>
        </w:tc>
        <w:tc>
          <w:tcPr>
            <w:tcW w:w="2551" w:type="dxa"/>
            <w:vAlign w:val="center"/>
          </w:tcPr>
          <w:p>
            <w:pPr>
              <w:pStyle w:val="12"/>
            </w:pPr>
            <w:r>
              <w:t>40人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聘请专家资质达标率</w:t>
            </w:r>
          </w:p>
        </w:tc>
        <w:tc>
          <w:tcPr>
            <w:tcW w:w="3430" w:type="dxa"/>
            <w:vAlign w:val="center"/>
          </w:tcPr>
          <w:p>
            <w:pPr>
              <w:pStyle w:val="12"/>
            </w:pPr>
            <w:r>
              <w:t>聘请专家资质达标率</w:t>
            </w: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评审完成时间</w:t>
            </w:r>
          </w:p>
        </w:tc>
        <w:tc>
          <w:tcPr>
            <w:tcW w:w="3430" w:type="dxa"/>
            <w:vAlign w:val="center"/>
          </w:tcPr>
          <w:p>
            <w:pPr>
              <w:pStyle w:val="12"/>
            </w:pPr>
            <w:r>
              <w:t>评审完成时间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评审相关费用</w:t>
            </w:r>
          </w:p>
        </w:tc>
        <w:tc>
          <w:tcPr>
            <w:tcW w:w="3430" w:type="dxa"/>
            <w:vAlign w:val="center"/>
          </w:tcPr>
          <w:p>
            <w:pPr>
              <w:pStyle w:val="12"/>
            </w:pPr>
            <w:r>
              <w:t>评审相关费用</w:t>
            </w:r>
          </w:p>
        </w:tc>
        <w:tc>
          <w:tcPr>
            <w:tcW w:w="2551" w:type="dxa"/>
            <w:vAlign w:val="center"/>
          </w:tcPr>
          <w:p>
            <w:pPr>
              <w:pStyle w:val="12"/>
            </w:pPr>
            <w:r>
              <w:t>≤20万元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聘请专家费用标准</w:t>
            </w:r>
          </w:p>
        </w:tc>
        <w:tc>
          <w:tcPr>
            <w:tcW w:w="3430" w:type="dxa"/>
            <w:vAlign w:val="center"/>
          </w:tcPr>
          <w:p>
            <w:pPr>
              <w:pStyle w:val="12"/>
            </w:pPr>
            <w:r>
              <w:t>聘请专家费用标准</w:t>
            </w:r>
          </w:p>
        </w:tc>
        <w:tc>
          <w:tcPr>
            <w:tcW w:w="2551" w:type="dxa"/>
            <w:vAlign w:val="center"/>
          </w:tcPr>
          <w:p>
            <w:pPr>
              <w:pStyle w:val="12"/>
            </w:pPr>
            <w:r>
              <w:t>≤4000元/人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推动我市文旅发展专题研究</w:t>
            </w:r>
          </w:p>
        </w:tc>
        <w:tc>
          <w:tcPr>
            <w:tcW w:w="3430" w:type="dxa"/>
            <w:vAlign w:val="center"/>
          </w:tcPr>
          <w:p>
            <w:pPr>
              <w:pStyle w:val="12"/>
            </w:pPr>
            <w:r>
              <w:t>推动我市文旅发展专题研究</w:t>
            </w:r>
          </w:p>
        </w:tc>
        <w:tc>
          <w:tcPr>
            <w:tcW w:w="2551" w:type="dxa"/>
            <w:vAlign w:val="center"/>
          </w:tcPr>
          <w:p>
            <w:pPr>
              <w:pStyle w:val="12"/>
            </w:pPr>
            <w:r>
              <w:t>进一步推动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促进全市各高校和文化艺术研究机构开展文艺研究</w:t>
            </w:r>
          </w:p>
        </w:tc>
        <w:tc>
          <w:tcPr>
            <w:tcW w:w="3430" w:type="dxa"/>
            <w:vAlign w:val="center"/>
          </w:tcPr>
          <w:p>
            <w:pPr>
              <w:pStyle w:val="12"/>
            </w:pPr>
            <w:r>
              <w:t>促进全市各高校和文化艺术研究机构开展文艺研究</w:t>
            </w:r>
          </w:p>
        </w:tc>
        <w:tc>
          <w:tcPr>
            <w:tcW w:w="2551" w:type="dxa"/>
            <w:vAlign w:val="center"/>
          </w:tcPr>
          <w:p>
            <w:pPr>
              <w:pStyle w:val="12"/>
            </w:pPr>
            <w:r>
              <w:t>有效促进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申报主体满意度</w:t>
            </w:r>
          </w:p>
        </w:tc>
        <w:tc>
          <w:tcPr>
            <w:tcW w:w="3430" w:type="dxa"/>
            <w:vAlign w:val="center"/>
          </w:tcPr>
          <w:p>
            <w:pPr>
              <w:pStyle w:val="12"/>
            </w:pPr>
            <w:r>
              <w:t>申报主体满意度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2" w:name="_Toc_4_4_0000000150"/>
      <w:r>
        <w:rPr>
          <w:rFonts w:hint="eastAsia" w:ascii="方正仿宋_GBK" w:hAnsi="方正仿宋_GBK" w:eastAsia="方正仿宋_GBK" w:cs="方正仿宋_GBK"/>
          <w:sz w:val="28"/>
          <w:lang w:val="en-US" w:eastAsia="zh-CN"/>
        </w:rPr>
        <w:t>3</w:t>
      </w:r>
      <w:r>
        <w:rPr>
          <w:rFonts w:ascii="方正仿宋_GBK" w:hAnsi="方正仿宋_GBK" w:eastAsia="方正仿宋_GBK" w:cs="方正仿宋_GBK"/>
          <w:sz w:val="28"/>
        </w:rPr>
        <w:t>.2025年市级非遗代表性传承人补助经费绩效目标表</w:t>
      </w:r>
      <w:bookmarkEnd w:id="2"/>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2025年市级非遗代表性传承人补助经费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180.00</w:t>
            </w:r>
          </w:p>
        </w:tc>
        <w:tc>
          <w:tcPr>
            <w:tcW w:w="1587" w:type="dxa"/>
            <w:vAlign w:val="center"/>
          </w:tcPr>
          <w:p>
            <w:pPr>
              <w:pStyle w:val="13"/>
            </w:pPr>
            <w:r>
              <w:t>其中：财政    资金</w:t>
            </w:r>
          </w:p>
        </w:tc>
        <w:tc>
          <w:tcPr>
            <w:tcW w:w="1843" w:type="dxa"/>
            <w:vAlign w:val="center"/>
          </w:tcPr>
          <w:p>
            <w:pPr>
              <w:pStyle w:val="12"/>
            </w:pPr>
            <w:r>
              <w:t>180.00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支付市级传承人补助经费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1.通过支持非遗代表性传承人开展传承传播活动，促进非遗事业发展。</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补助人员数量</w:t>
            </w:r>
          </w:p>
        </w:tc>
        <w:tc>
          <w:tcPr>
            <w:tcW w:w="3430" w:type="dxa"/>
            <w:vAlign w:val="center"/>
          </w:tcPr>
          <w:p>
            <w:pPr>
              <w:pStyle w:val="12"/>
            </w:pPr>
            <w:r>
              <w:t>补助人员数量</w:t>
            </w:r>
          </w:p>
        </w:tc>
        <w:tc>
          <w:tcPr>
            <w:tcW w:w="2551" w:type="dxa"/>
            <w:vAlign w:val="center"/>
          </w:tcPr>
          <w:p>
            <w:pPr>
              <w:pStyle w:val="12"/>
            </w:pPr>
            <w:r>
              <w:t>≥165人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补助领取率</w:t>
            </w:r>
          </w:p>
        </w:tc>
        <w:tc>
          <w:tcPr>
            <w:tcW w:w="3430" w:type="dxa"/>
            <w:vAlign w:val="center"/>
          </w:tcPr>
          <w:p>
            <w:pPr>
              <w:pStyle w:val="12"/>
            </w:pPr>
            <w:r>
              <w:t>补助领取率</w:t>
            </w: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补助领取时间</w:t>
            </w:r>
          </w:p>
        </w:tc>
        <w:tc>
          <w:tcPr>
            <w:tcW w:w="3430" w:type="dxa"/>
            <w:vAlign w:val="center"/>
          </w:tcPr>
          <w:p>
            <w:pPr>
              <w:pStyle w:val="12"/>
            </w:pPr>
            <w:r>
              <w:t>补助领取时间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发放补助经费</w:t>
            </w:r>
          </w:p>
        </w:tc>
        <w:tc>
          <w:tcPr>
            <w:tcW w:w="3430" w:type="dxa"/>
            <w:vAlign w:val="center"/>
          </w:tcPr>
          <w:p>
            <w:pPr>
              <w:pStyle w:val="12"/>
            </w:pPr>
            <w:r>
              <w:t>发放补助经费</w:t>
            </w:r>
          </w:p>
        </w:tc>
        <w:tc>
          <w:tcPr>
            <w:tcW w:w="2551" w:type="dxa"/>
            <w:vAlign w:val="center"/>
          </w:tcPr>
          <w:p>
            <w:pPr>
              <w:pStyle w:val="12"/>
            </w:pPr>
            <w:r>
              <w:t>≤180万元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非遗传承人补助标准</w:t>
            </w:r>
          </w:p>
        </w:tc>
        <w:tc>
          <w:tcPr>
            <w:tcW w:w="3430" w:type="dxa"/>
            <w:vAlign w:val="center"/>
          </w:tcPr>
          <w:p>
            <w:pPr>
              <w:pStyle w:val="12"/>
            </w:pPr>
            <w:r>
              <w:t>非遗传承人补助标准</w:t>
            </w:r>
          </w:p>
        </w:tc>
        <w:tc>
          <w:tcPr>
            <w:tcW w:w="2551" w:type="dxa"/>
            <w:vAlign w:val="center"/>
          </w:tcPr>
          <w:p>
            <w:pPr>
              <w:pStyle w:val="12"/>
            </w:pPr>
            <w:r>
              <w:t>≤1万元/人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促进非遗事业发展</w:t>
            </w:r>
          </w:p>
        </w:tc>
        <w:tc>
          <w:tcPr>
            <w:tcW w:w="3430" w:type="dxa"/>
            <w:vAlign w:val="center"/>
          </w:tcPr>
          <w:p>
            <w:pPr>
              <w:pStyle w:val="12"/>
            </w:pPr>
            <w:r>
              <w:t>促进非遗事业发展</w:t>
            </w:r>
          </w:p>
        </w:tc>
        <w:tc>
          <w:tcPr>
            <w:tcW w:w="2551" w:type="dxa"/>
            <w:vAlign w:val="center"/>
          </w:tcPr>
          <w:p>
            <w:pPr>
              <w:pStyle w:val="12"/>
            </w:pPr>
            <w:r>
              <w:t>进一步促进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领取补助非遗传承人满意度</w:t>
            </w:r>
          </w:p>
        </w:tc>
        <w:tc>
          <w:tcPr>
            <w:tcW w:w="3430" w:type="dxa"/>
            <w:vAlign w:val="center"/>
          </w:tcPr>
          <w:p>
            <w:pPr>
              <w:pStyle w:val="12"/>
            </w:pPr>
            <w:r>
              <w:t>领取补助非遗传承人满意度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3" w:name="_Toc_4_4_0000000151"/>
      <w:r>
        <w:rPr>
          <w:rFonts w:hint="eastAsia" w:ascii="方正仿宋_GBK" w:hAnsi="方正仿宋_GBK" w:eastAsia="方正仿宋_GBK" w:cs="方正仿宋_GBK"/>
          <w:sz w:val="28"/>
          <w:lang w:val="en-US" w:eastAsia="zh-CN"/>
        </w:rPr>
        <w:t>4</w:t>
      </w:r>
      <w:r>
        <w:rPr>
          <w:rFonts w:ascii="方正仿宋_GBK" w:hAnsi="方正仿宋_GBK" w:eastAsia="方正仿宋_GBK" w:cs="方正仿宋_GBK"/>
          <w:sz w:val="28"/>
        </w:rPr>
        <w:t>.非财政拨款项目支出-国家社科基金艺术学重大项目子课题《北方曲艺文献整理研究》绩效目标表</w:t>
      </w:r>
      <w:bookmarkEnd w:id="3"/>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非财政拨款项目支出-国家社科基金艺术学重大项目子课题《北方曲艺文献整理研究》</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10.00</w:t>
            </w:r>
          </w:p>
        </w:tc>
        <w:tc>
          <w:tcPr>
            <w:tcW w:w="1587" w:type="dxa"/>
            <w:vAlign w:val="center"/>
          </w:tcPr>
          <w:p>
            <w:pPr>
              <w:pStyle w:val="13"/>
            </w:pPr>
            <w:r>
              <w:t>其中：财政    资金</w:t>
            </w:r>
          </w:p>
        </w:tc>
        <w:tc>
          <w:tcPr>
            <w:tcW w:w="1843" w:type="dxa"/>
            <w:vAlign w:val="center"/>
          </w:tcPr>
          <w:p>
            <w:pPr>
              <w:pStyle w:val="12"/>
            </w:pPr>
          </w:p>
        </w:tc>
        <w:tc>
          <w:tcPr>
            <w:tcW w:w="1276" w:type="dxa"/>
            <w:vAlign w:val="center"/>
          </w:tcPr>
          <w:p>
            <w:pPr>
              <w:pStyle w:val="13"/>
            </w:pPr>
            <w:r>
              <w:t>其他资金</w:t>
            </w:r>
          </w:p>
        </w:tc>
        <w:tc>
          <w:tcPr>
            <w:tcW w:w="1276" w:type="dxa"/>
            <w:vAlign w:val="center"/>
          </w:tcPr>
          <w:p>
            <w:pPr>
              <w:pStyle w:val="12"/>
            </w:pPr>
            <w:r>
              <w:t>10.00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支研究经费。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1.完成国家社科基金艺术学重大项目子课题的研究,提高研究人员的研究能力。</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研究文章</w:t>
            </w:r>
          </w:p>
        </w:tc>
        <w:tc>
          <w:tcPr>
            <w:tcW w:w="3430" w:type="dxa"/>
            <w:vAlign w:val="center"/>
          </w:tcPr>
          <w:p>
            <w:pPr>
              <w:pStyle w:val="12"/>
            </w:pPr>
            <w:r>
              <w:t>研究文章</w:t>
            </w:r>
          </w:p>
        </w:tc>
        <w:tc>
          <w:tcPr>
            <w:tcW w:w="2551" w:type="dxa"/>
            <w:vAlign w:val="center"/>
          </w:tcPr>
          <w:p>
            <w:pPr>
              <w:pStyle w:val="12"/>
            </w:pPr>
            <w:r>
              <w:t>≥1篇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成果评审合格率</w:t>
            </w:r>
          </w:p>
        </w:tc>
        <w:tc>
          <w:tcPr>
            <w:tcW w:w="3430" w:type="dxa"/>
            <w:vAlign w:val="center"/>
          </w:tcPr>
          <w:p>
            <w:pPr>
              <w:pStyle w:val="12"/>
            </w:pPr>
            <w:r>
              <w:t>成果评审合格率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阶段性成果完成时间</w:t>
            </w:r>
          </w:p>
        </w:tc>
        <w:tc>
          <w:tcPr>
            <w:tcW w:w="3430" w:type="dxa"/>
            <w:vAlign w:val="center"/>
          </w:tcPr>
          <w:p>
            <w:pPr>
              <w:pStyle w:val="12"/>
            </w:pPr>
            <w:r>
              <w:t>阶段性成果完成时间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本地及外地调研差旅费</w:t>
            </w:r>
          </w:p>
        </w:tc>
        <w:tc>
          <w:tcPr>
            <w:tcW w:w="3430" w:type="dxa"/>
            <w:vAlign w:val="center"/>
          </w:tcPr>
          <w:p>
            <w:pPr>
              <w:pStyle w:val="12"/>
            </w:pPr>
            <w:r>
              <w:t>本地及外地调研差旅费</w:t>
            </w:r>
          </w:p>
        </w:tc>
        <w:tc>
          <w:tcPr>
            <w:tcW w:w="2551" w:type="dxa"/>
            <w:vAlign w:val="center"/>
          </w:tcPr>
          <w:p>
            <w:pPr>
              <w:pStyle w:val="12"/>
            </w:pPr>
            <w:r>
              <w:t>≤2.5万元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研究实践工作相关保障经费</w:t>
            </w:r>
          </w:p>
        </w:tc>
        <w:tc>
          <w:tcPr>
            <w:tcW w:w="3430" w:type="dxa"/>
            <w:vAlign w:val="center"/>
          </w:tcPr>
          <w:p>
            <w:pPr>
              <w:pStyle w:val="12"/>
            </w:pPr>
            <w:r>
              <w:t>研究实践工作相关保障经费</w:t>
            </w:r>
          </w:p>
        </w:tc>
        <w:tc>
          <w:tcPr>
            <w:tcW w:w="2551" w:type="dxa"/>
            <w:vAlign w:val="center"/>
          </w:tcPr>
          <w:p>
            <w:pPr>
              <w:pStyle w:val="12"/>
            </w:pPr>
            <w:r>
              <w:t>≤7.5万元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提高研究人员的研究能力</w:t>
            </w:r>
          </w:p>
        </w:tc>
        <w:tc>
          <w:tcPr>
            <w:tcW w:w="3430" w:type="dxa"/>
            <w:vAlign w:val="center"/>
          </w:tcPr>
          <w:p>
            <w:pPr>
              <w:pStyle w:val="12"/>
            </w:pPr>
            <w:r>
              <w:t>提高研究人员的研究能力</w:t>
            </w:r>
          </w:p>
        </w:tc>
        <w:tc>
          <w:tcPr>
            <w:tcW w:w="2551" w:type="dxa"/>
            <w:vAlign w:val="center"/>
          </w:tcPr>
          <w:p>
            <w:pPr>
              <w:pStyle w:val="12"/>
            </w:pPr>
            <w:r>
              <w:t>有效提高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参加人员的满意度</w:t>
            </w:r>
          </w:p>
        </w:tc>
        <w:tc>
          <w:tcPr>
            <w:tcW w:w="3430" w:type="dxa"/>
            <w:vAlign w:val="center"/>
          </w:tcPr>
          <w:p>
            <w:pPr>
              <w:pStyle w:val="12"/>
            </w:pPr>
            <w:r>
              <w:t>参加人员的满意度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4" w:name="_Toc_4_4_0000000152"/>
      <w:r>
        <w:rPr>
          <w:rFonts w:hint="eastAsia" w:ascii="方正仿宋_GBK" w:hAnsi="方正仿宋_GBK" w:eastAsia="方正仿宋_GBK" w:cs="方正仿宋_GBK"/>
          <w:sz w:val="28"/>
          <w:lang w:val="en-US" w:eastAsia="zh-CN"/>
        </w:rPr>
        <w:t>5</w:t>
      </w:r>
      <w:r>
        <w:rPr>
          <w:rFonts w:ascii="方正仿宋_GBK" w:hAnsi="方正仿宋_GBK" w:eastAsia="方正仿宋_GBK" w:cs="方正仿宋_GBK"/>
          <w:sz w:val="28"/>
        </w:rPr>
        <w:t>.非财政拨款项目支出-民营曲艺演出团体的现状与发展研究绩效目标表</w:t>
      </w:r>
      <w:bookmarkEnd w:id="4"/>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非财政拨款项目支出-民营曲艺演出团体的现状与发展研究</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1.50</w:t>
            </w:r>
          </w:p>
        </w:tc>
        <w:tc>
          <w:tcPr>
            <w:tcW w:w="1587" w:type="dxa"/>
            <w:vAlign w:val="center"/>
          </w:tcPr>
          <w:p>
            <w:pPr>
              <w:pStyle w:val="13"/>
            </w:pPr>
            <w:r>
              <w:t>其中：财政    资金</w:t>
            </w:r>
          </w:p>
        </w:tc>
        <w:tc>
          <w:tcPr>
            <w:tcW w:w="1843" w:type="dxa"/>
            <w:vAlign w:val="center"/>
          </w:tcPr>
          <w:p>
            <w:pPr>
              <w:pStyle w:val="12"/>
            </w:pPr>
          </w:p>
        </w:tc>
        <w:tc>
          <w:tcPr>
            <w:tcW w:w="1276" w:type="dxa"/>
            <w:vAlign w:val="center"/>
          </w:tcPr>
          <w:p>
            <w:pPr>
              <w:pStyle w:val="13"/>
            </w:pPr>
            <w:r>
              <w:t>其他资金</w:t>
            </w:r>
          </w:p>
        </w:tc>
        <w:tc>
          <w:tcPr>
            <w:tcW w:w="1276" w:type="dxa"/>
            <w:vAlign w:val="center"/>
          </w:tcPr>
          <w:p>
            <w:pPr>
              <w:pStyle w:val="12"/>
            </w:pPr>
            <w:r>
              <w:t>1.50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支付项目研究经费。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1.进行项目后续研究，进一步提升结项报告质量，提高科研人员的工作能力。</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结项报告数量</w:t>
            </w:r>
          </w:p>
        </w:tc>
        <w:tc>
          <w:tcPr>
            <w:tcW w:w="3430" w:type="dxa"/>
            <w:vAlign w:val="center"/>
          </w:tcPr>
          <w:p>
            <w:pPr>
              <w:pStyle w:val="12"/>
            </w:pPr>
            <w:r>
              <w:t>结项报告数量</w:t>
            </w:r>
          </w:p>
        </w:tc>
        <w:tc>
          <w:tcPr>
            <w:tcW w:w="2551" w:type="dxa"/>
            <w:vAlign w:val="center"/>
          </w:tcPr>
          <w:p>
            <w:pPr>
              <w:pStyle w:val="12"/>
            </w:pPr>
            <w:r>
              <w:t>1篇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成果评审合格率</w:t>
            </w:r>
          </w:p>
        </w:tc>
        <w:tc>
          <w:tcPr>
            <w:tcW w:w="3430" w:type="dxa"/>
            <w:vAlign w:val="center"/>
          </w:tcPr>
          <w:p>
            <w:pPr>
              <w:pStyle w:val="12"/>
            </w:pPr>
            <w:r>
              <w:t>成果评审合格率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报告修改提高完成时间</w:t>
            </w:r>
          </w:p>
        </w:tc>
        <w:tc>
          <w:tcPr>
            <w:tcW w:w="3430" w:type="dxa"/>
            <w:vAlign w:val="center"/>
          </w:tcPr>
          <w:p>
            <w:pPr>
              <w:pStyle w:val="12"/>
            </w:pPr>
            <w:r>
              <w:t>报告修改提高完成时间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调研差旅费</w:t>
            </w:r>
          </w:p>
        </w:tc>
        <w:tc>
          <w:tcPr>
            <w:tcW w:w="3430" w:type="dxa"/>
            <w:vAlign w:val="center"/>
          </w:tcPr>
          <w:p>
            <w:pPr>
              <w:pStyle w:val="12"/>
            </w:pPr>
            <w:r>
              <w:t>调研差旅费</w:t>
            </w:r>
          </w:p>
        </w:tc>
        <w:tc>
          <w:tcPr>
            <w:tcW w:w="2551" w:type="dxa"/>
            <w:vAlign w:val="center"/>
          </w:tcPr>
          <w:p>
            <w:pPr>
              <w:pStyle w:val="12"/>
            </w:pPr>
            <w:r>
              <w:t>≤0.6万元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参考资料及辅助设备费</w:t>
            </w:r>
          </w:p>
        </w:tc>
        <w:tc>
          <w:tcPr>
            <w:tcW w:w="3430" w:type="dxa"/>
            <w:vAlign w:val="center"/>
          </w:tcPr>
          <w:p>
            <w:pPr>
              <w:pStyle w:val="12"/>
            </w:pPr>
            <w:r>
              <w:t>参考资料及辅助设备费</w:t>
            </w:r>
          </w:p>
        </w:tc>
        <w:tc>
          <w:tcPr>
            <w:tcW w:w="2551" w:type="dxa"/>
            <w:vAlign w:val="center"/>
          </w:tcPr>
          <w:p>
            <w:pPr>
              <w:pStyle w:val="12"/>
            </w:pPr>
            <w:r>
              <w:t>≤0.9万元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提高科研人员的工作能力</w:t>
            </w:r>
          </w:p>
        </w:tc>
        <w:tc>
          <w:tcPr>
            <w:tcW w:w="3430" w:type="dxa"/>
            <w:vAlign w:val="center"/>
          </w:tcPr>
          <w:p>
            <w:pPr>
              <w:pStyle w:val="12"/>
            </w:pPr>
            <w:r>
              <w:t>提高科研人员的工作能力</w:t>
            </w:r>
          </w:p>
        </w:tc>
        <w:tc>
          <w:tcPr>
            <w:tcW w:w="2551" w:type="dxa"/>
            <w:vAlign w:val="center"/>
          </w:tcPr>
          <w:p>
            <w:pPr>
              <w:pStyle w:val="12"/>
            </w:pPr>
            <w:r>
              <w:t>有效提高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参加人员的满意度</w:t>
            </w:r>
          </w:p>
        </w:tc>
        <w:tc>
          <w:tcPr>
            <w:tcW w:w="3430" w:type="dxa"/>
            <w:vAlign w:val="center"/>
          </w:tcPr>
          <w:p>
            <w:pPr>
              <w:pStyle w:val="12"/>
            </w:pPr>
            <w:r>
              <w:t>参加人员的满意度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5" w:name="_Toc_4_4_0000000153"/>
      <w:r>
        <w:rPr>
          <w:rFonts w:hint="eastAsia" w:ascii="方正仿宋_GBK" w:hAnsi="方正仿宋_GBK" w:eastAsia="方正仿宋_GBK" w:cs="方正仿宋_GBK"/>
          <w:sz w:val="28"/>
          <w:lang w:val="en-US" w:eastAsia="zh-CN"/>
        </w:rPr>
        <w:t>6</w:t>
      </w:r>
      <w:r>
        <w:rPr>
          <w:rFonts w:ascii="方正仿宋_GBK" w:hAnsi="方正仿宋_GBK" w:eastAsia="方正仿宋_GBK" w:cs="方正仿宋_GBK"/>
          <w:sz w:val="28"/>
        </w:rPr>
        <w:t>.非财政拨款项目支出-文化和旅游部部级社科研究项目相关工作（委托）绩效目标表</w:t>
      </w:r>
      <w:bookmarkEnd w:id="5"/>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非财政拨款项目支出-文化和旅游部部级社科研究项目相关工作（委托）</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4.70</w:t>
            </w:r>
          </w:p>
        </w:tc>
        <w:tc>
          <w:tcPr>
            <w:tcW w:w="1587" w:type="dxa"/>
            <w:vAlign w:val="center"/>
          </w:tcPr>
          <w:p>
            <w:pPr>
              <w:pStyle w:val="13"/>
            </w:pPr>
            <w:r>
              <w:t>其中：财政    资金</w:t>
            </w:r>
          </w:p>
        </w:tc>
        <w:tc>
          <w:tcPr>
            <w:tcW w:w="1843" w:type="dxa"/>
            <w:vAlign w:val="center"/>
          </w:tcPr>
          <w:p>
            <w:pPr>
              <w:pStyle w:val="12"/>
            </w:pPr>
          </w:p>
        </w:tc>
        <w:tc>
          <w:tcPr>
            <w:tcW w:w="1276" w:type="dxa"/>
            <w:vAlign w:val="center"/>
          </w:tcPr>
          <w:p>
            <w:pPr>
              <w:pStyle w:val="13"/>
            </w:pPr>
            <w:r>
              <w:t>其他资金</w:t>
            </w:r>
          </w:p>
        </w:tc>
        <w:tc>
          <w:tcPr>
            <w:tcW w:w="1276" w:type="dxa"/>
            <w:vAlign w:val="center"/>
          </w:tcPr>
          <w:p>
            <w:pPr>
              <w:pStyle w:val="12"/>
            </w:pPr>
            <w:r>
              <w:t>4.70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支付文化和旅游部部级社科研究项目委托的相关工作经费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1.完成文化和旅游部部级社科研究项目委托的相关工作,推动文旅深度融合。</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完成文旅部委托工作</w:t>
            </w:r>
          </w:p>
        </w:tc>
        <w:tc>
          <w:tcPr>
            <w:tcW w:w="3430" w:type="dxa"/>
            <w:vAlign w:val="center"/>
          </w:tcPr>
          <w:p>
            <w:pPr>
              <w:pStyle w:val="12"/>
            </w:pPr>
            <w:r>
              <w:t>完成文旅部委托工作</w:t>
            </w:r>
          </w:p>
        </w:tc>
        <w:tc>
          <w:tcPr>
            <w:tcW w:w="2551" w:type="dxa"/>
            <w:vAlign w:val="center"/>
          </w:tcPr>
          <w:p>
            <w:pPr>
              <w:pStyle w:val="12"/>
            </w:pPr>
            <w:r>
              <w:t>≥1项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文旅部委托工作完成质量合格率</w:t>
            </w:r>
          </w:p>
        </w:tc>
        <w:tc>
          <w:tcPr>
            <w:tcW w:w="3430" w:type="dxa"/>
            <w:vAlign w:val="center"/>
          </w:tcPr>
          <w:p>
            <w:pPr>
              <w:pStyle w:val="12"/>
            </w:pPr>
            <w:r>
              <w:t>文旅部委托工作完成质量合格率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文旅部委托工作完成时间</w:t>
            </w:r>
          </w:p>
        </w:tc>
        <w:tc>
          <w:tcPr>
            <w:tcW w:w="3430" w:type="dxa"/>
            <w:vAlign w:val="center"/>
          </w:tcPr>
          <w:p>
            <w:pPr>
              <w:pStyle w:val="12"/>
            </w:pPr>
            <w:r>
              <w:t>文旅部委托工作完成时间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电脑及存储设备购置费用</w:t>
            </w:r>
          </w:p>
        </w:tc>
        <w:tc>
          <w:tcPr>
            <w:tcW w:w="3430" w:type="dxa"/>
            <w:vAlign w:val="center"/>
          </w:tcPr>
          <w:p>
            <w:pPr>
              <w:pStyle w:val="12"/>
            </w:pPr>
            <w:r>
              <w:t>电脑及存储设备购置费用</w:t>
            </w:r>
          </w:p>
        </w:tc>
        <w:tc>
          <w:tcPr>
            <w:tcW w:w="2551" w:type="dxa"/>
            <w:vAlign w:val="center"/>
          </w:tcPr>
          <w:p>
            <w:pPr>
              <w:pStyle w:val="12"/>
            </w:pPr>
            <w:r>
              <w:t>≤2万元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项目调研及相关保障费用</w:t>
            </w:r>
          </w:p>
        </w:tc>
        <w:tc>
          <w:tcPr>
            <w:tcW w:w="3430" w:type="dxa"/>
            <w:vAlign w:val="center"/>
          </w:tcPr>
          <w:p>
            <w:pPr>
              <w:pStyle w:val="12"/>
            </w:pPr>
            <w:r>
              <w:t>项目调研及相关保障费用</w:t>
            </w:r>
          </w:p>
        </w:tc>
        <w:tc>
          <w:tcPr>
            <w:tcW w:w="2551" w:type="dxa"/>
            <w:vAlign w:val="center"/>
          </w:tcPr>
          <w:p>
            <w:pPr>
              <w:pStyle w:val="12"/>
            </w:pPr>
            <w:r>
              <w:t>≤2.7万元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推动文旅深度融合</w:t>
            </w:r>
          </w:p>
        </w:tc>
        <w:tc>
          <w:tcPr>
            <w:tcW w:w="3430" w:type="dxa"/>
            <w:vAlign w:val="center"/>
          </w:tcPr>
          <w:p>
            <w:pPr>
              <w:pStyle w:val="12"/>
            </w:pPr>
            <w:r>
              <w:t>推动文旅深度融合</w:t>
            </w:r>
          </w:p>
        </w:tc>
        <w:tc>
          <w:tcPr>
            <w:tcW w:w="2551" w:type="dxa"/>
            <w:vAlign w:val="center"/>
          </w:tcPr>
          <w:p>
            <w:pPr>
              <w:pStyle w:val="12"/>
            </w:pPr>
            <w:r>
              <w:t>进一步推动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委托方满意度</w:t>
            </w:r>
          </w:p>
        </w:tc>
        <w:tc>
          <w:tcPr>
            <w:tcW w:w="3430" w:type="dxa"/>
            <w:vAlign w:val="center"/>
          </w:tcPr>
          <w:p>
            <w:pPr>
              <w:pStyle w:val="12"/>
            </w:pPr>
            <w:r>
              <w:t>委托方满意度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6" w:name="_Toc_4_4_0000000154"/>
      <w:r>
        <w:rPr>
          <w:rFonts w:hint="eastAsia" w:ascii="方正仿宋_GBK" w:hAnsi="方正仿宋_GBK" w:eastAsia="方正仿宋_GBK" w:cs="方正仿宋_GBK"/>
          <w:sz w:val="28"/>
          <w:lang w:val="en-US" w:eastAsia="zh-CN"/>
        </w:rPr>
        <w:t>7</w:t>
      </w:r>
      <w:r>
        <w:rPr>
          <w:rFonts w:ascii="方正仿宋_GBK" w:hAnsi="方正仿宋_GBK" w:eastAsia="方正仿宋_GBK" w:cs="方正仿宋_GBK"/>
          <w:sz w:val="28"/>
        </w:rPr>
        <w:t>.非财政拨款项目支出-文化和旅游系统青年科研人才扶持项目绩效目标表</w:t>
      </w:r>
      <w:bookmarkEnd w:id="6"/>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非财政拨款项目支出-文化和旅游系统青年科研人才扶持项目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3.00</w:t>
            </w:r>
          </w:p>
        </w:tc>
        <w:tc>
          <w:tcPr>
            <w:tcW w:w="1587" w:type="dxa"/>
            <w:vAlign w:val="center"/>
          </w:tcPr>
          <w:p>
            <w:pPr>
              <w:pStyle w:val="13"/>
            </w:pPr>
            <w:r>
              <w:t>其中：财政    资金</w:t>
            </w:r>
          </w:p>
        </w:tc>
        <w:tc>
          <w:tcPr>
            <w:tcW w:w="1843" w:type="dxa"/>
            <w:vAlign w:val="center"/>
          </w:tcPr>
          <w:p>
            <w:pPr>
              <w:pStyle w:val="12"/>
            </w:pPr>
          </w:p>
        </w:tc>
        <w:tc>
          <w:tcPr>
            <w:tcW w:w="1276" w:type="dxa"/>
            <w:vAlign w:val="center"/>
          </w:tcPr>
          <w:p>
            <w:pPr>
              <w:pStyle w:val="13"/>
            </w:pPr>
            <w:r>
              <w:t>其他资金</w:t>
            </w:r>
          </w:p>
        </w:tc>
        <w:tc>
          <w:tcPr>
            <w:tcW w:w="1276" w:type="dxa"/>
            <w:vAlign w:val="center"/>
          </w:tcPr>
          <w:p>
            <w:pPr>
              <w:pStyle w:val="12"/>
            </w:pPr>
            <w:r>
              <w:t>3.00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支付人才培养经费。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1.开展研究实践工作，完成青年人才扶持培养目标。</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视频作品数量</w:t>
            </w:r>
          </w:p>
        </w:tc>
        <w:tc>
          <w:tcPr>
            <w:tcW w:w="3430" w:type="dxa"/>
            <w:vAlign w:val="center"/>
          </w:tcPr>
          <w:p>
            <w:pPr>
              <w:pStyle w:val="12"/>
            </w:pPr>
            <w:r>
              <w:t>视频作品数量</w:t>
            </w:r>
          </w:p>
        </w:tc>
        <w:tc>
          <w:tcPr>
            <w:tcW w:w="2551" w:type="dxa"/>
            <w:vAlign w:val="center"/>
          </w:tcPr>
          <w:p>
            <w:pPr>
              <w:pStyle w:val="12"/>
            </w:pPr>
            <w:r>
              <w:t>≥5个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项目报告</w:t>
            </w:r>
          </w:p>
        </w:tc>
        <w:tc>
          <w:tcPr>
            <w:tcW w:w="3430" w:type="dxa"/>
            <w:vAlign w:val="center"/>
          </w:tcPr>
          <w:p>
            <w:pPr>
              <w:pStyle w:val="12"/>
            </w:pPr>
            <w:r>
              <w:t>项目报告</w:t>
            </w:r>
          </w:p>
        </w:tc>
        <w:tc>
          <w:tcPr>
            <w:tcW w:w="2551" w:type="dxa"/>
            <w:vAlign w:val="center"/>
          </w:tcPr>
          <w:p>
            <w:pPr>
              <w:pStyle w:val="12"/>
            </w:pPr>
            <w:r>
              <w:t>≥1万字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视频内容达标率</w:t>
            </w:r>
          </w:p>
        </w:tc>
        <w:tc>
          <w:tcPr>
            <w:tcW w:w="3430" w:type="dxa"/>
            <w:vAlign w:val="center"/>
          </w:tcPr>
          <w:p>
            <w:pPr>
              <w:pStyle w:val="12"/>
            </w:pPr>
            <w:r>
              <w:t>视频内容达标率</w:t>
            </w:r>
          </w:p>
        </w:tc>
        <w:tc>
          <w:tcPr>
            <w:tcW w:w="2551" w:type="dxa"/>
            <w:vAlign w:val="center"/>
          </w:tcPr>
          <w:p>
            <w:pPr>
              <w:pStyle w:val="12"/>
            </w:pPr>
            <w:r>
              <w:t>≥95%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文字内容达标率</w:t>
            </w:r>
          </w:p>
        </w:tc>
        <w:tc>
          <w:tcPr>
            <w:tcW w:w="3430" w:type="dxa"/>
            <w:vAlign w:val="center"/>
          </w:tcPr>
          <w:p>
            <w:pPr>
              <w:pStyle w:val="12"/>
            </w:pPr>
            <w:r>
              <w:t>文字内容达标率</w:t>
            </w:r>
          </w:p>
        </w:tc>
        <w:tc>
          <w:tcPr>
            <w:tcW w:w="2551" w:type="dxa"/>
            <w:vAlign w:val="center"/>
          </w:tcPr>
          <w:p>
            <w:pPr>
              <w:pStyle w:val="12"/>
            </w:pPr>
            <w:r>
              <w:t>≥95%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视频拍摄和结项报告完成时间</w:t>
            </w:r>
          </w:p>
        </w:tc>
        <w:tc>
          <w:tcPr>
            <w:tcW w:w="3430" w:type="dxa"/>
            <w:vAlign w:val="center"/>
          </w:tcPr>
          <w:p>
            <w:pPr>
              <w:pStyle w:val="12"/>
            </w:pPr>
            <w:r>
              <w:t>视频拍摄和结项报告完成时间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人才培养成本</w:t>
            </w:r>
          </w:p>
        </w:tc>
        <w:tc>
          <w:tcPr>
            <w:tcW w:w="3430" w:type="dxa"/>
            <w:vAlign w:val="center"/>
          </w:tcPr>
          <w:p>
            <w:pPr>
              <w:pStyle w:val="12"/>
            </w:pPr>
            <w:r>
              <w:t>人才培养成本</w:t>
            </w:r>
          </w:p>
        </w:tc>
        <w:tc>
          <w:tcPr>
            <w:tcW w:w="2551" w:type="dxa"/>
            <w:vAlign w:val="center"/>
          </w:tcPr>
          <w:p>
            <w:pPr>
              <w:pStyle w:val="12"/>
            </w:pPr>
            <w:r>
              <w:t>≤3万元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提高青年人才的工作能力</w:t>
            </w:r>
          </w:p>
        </w:tc>
        <w:tc>
          <w:tcPr>
            <w:tcW w:w="3430" w:type="dxa"/>
            <w:vAlign w:val="center"/>
          </w:tcPr>
          <w:p>
            <w:pPr>
              <w:pStyle w:val="12"/>
            </w:pPr>
            <w:r>
              <w:t>提高青年人才的工作能力</w:t>
            </w:r>
          </w:p>
        </w:tc>
        <w:tc>
          <w:tcPr>
            <w:tcW w:w="2551" w:type="dxa"/>
            <w:vAlign w:val="center"/>
          </w:tcPr>
          <w:p>
            <w:pPr>
              <w:pStyle w:val="12"/>
            </w:pPr>
            <w:r>
              <w:t>有效提高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受众满意度</w:t>
            </w:r>
          </w:p>
        </w:tc>
        <w:tc>
          <w:tcPr>
            <w:tcW w:w="3430" w:type="dxa"/>
            <w:vAlign w:val="center"/>
          </w:tcPr>
          <w:p>
            <w:pPr>
              <w:pStyle w:val="12"/>
            </w:pPr>
            <w:r>
              <w:t>受众满意度</w:t>
            </w:r>
          </w:p>
        </w:tc>
        <w:tc>
          <w:tcPr>
            <w:tcW w:w="2551" w:type="dxa"/>
            <w:vAlign w:val="center"/>
          </w:tcPr>
          <w:p>
            <w:pPr>
              <w:pStyle w:val="12"/>
            </w:pPr>
            <w:r>
              <w:t>≥80%</w:t>
            </w:r>
          </w:p>
        </w:tc>
      </w:tr>
    </w:tbl>
    <w:p>
      <w:pPr>
        <w:sectPr>
          <w:pgSz w:w="11900" w:h="16840"/>
          <w:pgMar w:top="1984" w:right="1304" w:bottom="1134" w:left="1304" w:header="720" w:footer="720" w:gutter="0"/>
          <w:cols w:space="720" w:num="1"/>
        </w:sectPr>
      </w:pPr>
    </w:p>
    <w:p>
      <w:pPr>
        <w:jc w:val="center"/>
      </w:pPr>
    </w:p>
    <w:p>
      <w:pPr>
        <w:ind w:firstLine="560"/>
        <w:outlineLvl w:val="3"/>
      </w:pPr>
      <w:bookmarkStart w:id="7" w:name="_Toc_4_4_0000000155"/>
      <w:r>
        <w:rPr>
          <w:rFonts w:hint="eastAsia" w:ascii="方正仿宋_GBK" w:hAnsi="方正仿宋_GBK" w:eastAsia="方正仿宋_GBK" w:cs="方正仿宋_GBK"/>
          <w:sz w:val="28"/>
          <w:lang w:val="en-US" w:eastAsia="zh-CN"/>
        </w:rPr>
        <w:t>8</w:t>
      </w:r>
      <w:r>
        <w:rPr>
          <w:rFonts w:ascii="方正仿宋_GBK" w:hAnsi="方正仿宋_GBK" w:eastAsia="方正仿宋_GBK" w:cs="方正仿宋_GBK"/>
          <w:sz w:val="28"/>
        </w:rPr>
        <w:t>.非财政拨款项目支出-艺术研究及成果出版项目绩效目标表</w:t>
      </w:r>
      <w:bookmarkEnd w:id="7"/>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非财政拨款项目支出-艺术研究及成果出版项目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27.00</w:t>
            </w:r>
          </w:p>
        </w:tc>
        <w:tc>
          <w:tcPr>
            <w:tcW w:w="1587" w:type="dxa"/>
            <w:vAlign w:val="center"/>
          </w:tcPr>
          <w:p>
            <w:pPr>
              <w:pStyle w:val="13"/>
            </w:pPr>
            <w:r>
              <w:t>其中：财政    资金</w:t>
            </w:r>
          </w:p>
        </w:tc>
        <w:tc>
          <w:tcPr>
            <w:tcW w:w="1843" w:type="dxa"/>
            <w:vAlign w:val="center"/>
          </w:tcPr>
          <w:p>
            <w:pPr>
              <w:pStyle w:val="12"/>
            </w:pPr>
          </w:p>
        </w:tc>
        <w:tc>
          <w:tcPr>
            <w:tcW w:w="1276" w:type="dxa"/>
            <w:vAlign w:val="center"/>
          </w:tcPr>
          <w:p>
            <w:pPr>
              <w:pStyle w:val="13"/>
            </w:pPr>
            <w:r>
              <w:t>其他资金</w:t>
            </w:r>
          </w:p>
        </w:tc>
        <w:tc>
          <w:tcPr>
            <w:tcW w:w="1276" w:type="dxa"/>
            <w:vAlign w:val="center"/>
          </w:tcPr>
          <w:p>
            <w:pPr>
              <w:pStyle w:val="12"/>
            </w:pPr>
            <w:r>
              <w:t>27.00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tcPr>
          <w:p/>
        </w:tc>
        <w:tc>
          <w:tcPr>
            <w:tcW w:w="8589" w:type="dxa"/>
            <w:gridSpan w:val="6"/>
            <w:vAlign w:val="center"/>
          </w:tcPr>
          <w:p>
            <w:pPr>
              <w:pStyle w:val="12"/>
            </w:pPr>
            <w:r>
              <w:t>支付完成项目所需的各种经费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1.完成所藏资料的数字化整理，完成《天津艺术发展报告》，完成《天津艺文论丛》出版，为天津市文化和旅游事业改革发展提供重要的理论支持与决策参考，打造天津文艺评论队伍。</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完成专著数量</w:t>
            </w:r>
          </w:p>
        </w:tc>
        <w:tc>
          <w:tcPr>
            <w:tcW w:w="3430" w:type="dxa"/>
            <w:vAlign w:val="center"/>
          </w:tcPr>
          <w:p>
            <w:pPr>
              <w:pStyle w:val="12"/>
            </w:pPr>
            <w:r>
              <w:t>完成专著数量</w:t>
            </w:r>
          </w:p>
        </w:tc>
        <w:tc>
          <w:tcPr>
            <w:tcW w:w="2551" w:type="dxa"/>
            <w:vAlign w:val="center"/>
          </w:tcPr>
          <w:p>
            <w:pPr>
              <w:pStyle w:val="12"/>
            </w:pPr>
            <w:r>
              <w:t>1部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完成专题报告数量</w:t>
            </w:r>
          </w:p>
        </w:tc>
        <w:tc>
          <w:tcPr>
            <w:tcW w:w="3430" w:type="dxa"/>
            <w:vAlign w:val="center"/>
          </w:tcPr>
          <w:p>
            <w:pPr>
              <w:pStyle w:val="12"/>
            </w:pPr>
            <w:r>
              <w:t>完成专题报告数量</w:t>
            </w:r>
          </w:p>
        </w:tc>
        <w:tc>
          <w:tcPr>
            <w:tcW w:w="2551" w:type="dxa"/>
            <w:vAlign w:val="center"/>
          </w:tcPr>
          <w:p>
            <w:pPr>
              <w:pStyle w:val="12"/>
            </w:pPr>
            <w:r>
              <w:t>1篇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完成刊物数量</w:t>
            </w:r>
          </w:p>
        </w:tc>
        <w:tc>
          <w:tcPr>
            <w:tcW w:w="3430" w:type="dxa"/>
            <w:vAlign w:val="center"/>
          </w:tcPr>
          <w:p>
            <w:pPr>
              <w:pStyle w:val="12"/>
            </w:pPr>
            <w:r>
              <w:t>完成刊物数量</w:t>
            </w:r>
          </w:p>
        </w:tc>
        <w:tc>
          <w:tcPr>
            <w:tcW w:w="2551" w:type="dxa"/>
            <w:vAlign w:val="center"/>
          </w:tcPr>
          <w:p>
            <w:pPr>
              <w:pStyle w:val="12"/>
            </w:pPr>
            <w:r>
              <w:t>≥4期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专著评审合格率</w:t>
            </w:r>
          </w:p>
        </w:tc>
        <w:tc>
          <w:tcPr>
            <w:tcW w:w="3430" w:type="dxa"/>
            <w:vAlign w:val="center"/>
          </w:tcPr>
          <w:p>
            <w:pPr>
              <w:pStyle w:val="12"/>
            </w:pPr>
            <w:r>
              <w:t>专著评审合格率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专题报告评审合格率</w:t>
            </w:r>
          </w:p>
        </w:tc>
        <w:tc>
          <w:tcPr>
            <w:tcW w:w="3430" w:type="dxa"/>
            <w:vAlign w:val="center"/>
          </w:tcPr>
          <w:p>
            <w:pPr>
              <w:pStyle w:val="12"/>
            </w:pPr>
            <w:r>
              <w:t>专题报告评审合格率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刊物评审合格率</w:t>
            </w:r>
          </w:p>
        </w:tc>
        <w:tc>
          <w:tcPr>
            <w:tcW w:w="3430" w:type="dxa"/>
            <w:vAlign w:val="center"/>
          </w:tcPr>
          <w:p>
            <w:pPr>
              <w:pStyle w:val="12"/>
            </w:pPr>
            <w:r>
              <w:t>刊物评审合格率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完成部分数字化资料库时间</w:t>
            </w:r>
          </w:p>
        </w:tc>
        <w:tc>
          <w:tcPr>
            <w:tcW w:w="3430" w:type="dxa"/>
            <w:vAlign w:val="center"/>
          </w:tcPr>
          <w:p>
            <w:pPr>
              <w:pStyle w:val="12"/>
            </w:pPr>
            <w:r>
              <w:t>完成部分数字化资料库时间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完成专著稿件时间</w:t>
            </w:r>
          </w:p>
        </w:tc>
        <w:tc>
          <w:tcPr>
            <w:tcW w:w="3430" w:type="dxa"/>
            <w:vAlign w:val="center"/>
          </w:tcPr>
          <w:p>
            <w:pPr>
              <w:pStyle w:val="12"/>
            </w:pPr>
            <w:r>
              <w:t>完成专著稿件时间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资料整理费用</w:t>
            </w:r>
          </w:p>
        </w:tc>
        <w:tc>
          <w:tcPr>
            <w:tcW w:w="3430" w:type="dxa"/>
            <w:vAlign w:val="center"/>
          </w:tcPr>
          <w:p>
            <w:pPr>
              <w:pStyle w:val="12"/>
            </w:pPr>
            <w:r>
              <w:t>资料整理费用</w:t>
            </w:r>
          </w:p>
        </w:tc>
        <w:tc>
          <w:tcPr>
            <w:tcW w:w="2551" w:type="dxa"/>
            <w:vAlign w:val="center"/>
          </w:tcPr>
          <w:p>
            <w:pPr>
              <w:pStyle w:val="12"/>
            </w:pPr>
            <w:r>
              <w:t>≤4.5万元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艺术发展报告费用</w:t>
            </w:r>
          </w:p>
        </w:tc>
        <w:tc>
          <w:tcPr>
            <w:tcW w:w="3430" w:type="dxa"/>
            <w:vAlign w:val="center"/>
          </w:tcPr>
          <w:p>
            <w:pPr>
              <w:pStyle w:val="12"/>
            </w:pPr>
            <w:r>
              <w:t>艺术发展报告费用</w:t>
            </w:r>
          </w:p>
        </w:tc>
        <w:tc>
          <w:tcPr>
            <w:tcW w:w="2551" w:type="dxa"/>
            <w:vAlign w:val="center"/>
          </w:tcPr>
          <w:p>
            <w:pPr>
              <w:pStyle w:val="12"/>
            </w:pPr>
            <w:r>
              <w:t>≤10.5万元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出版相关费用</w:t>
            </w:r>
          </w:p>
        </w:tc>
        <w:tc>
          <w:tcPr>
            <w:tcW w:w="3430" w:type="dxa"/>
            <w:vAlign w:val="center"/>
          </w:tcPr>
          <w:p>
            <w:pPr>
              <w:pStyle w:val="12"/>
            </w:pPr>
            <w:r>
              <w:t>出版相关费用</w:t>
            </w:r>
          </w:p>
        </w:tc>
        <w:tc>
          <w:tcPr>
            <w:tcW w:w="2551" w:type="dxa"/>
            <w:vAlign w:val="center"/>
          </w:tcPr>
          <w:p>
            <w:pPr>
              <w:pStyle w:val="12"/>
            </w:pPr>
            <w:r>
              <w:t>≤12万元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研究成果刊发、媒体报道次数</w:t>
            </w:r>
          </w:p>
        </w:tc>
        <w:tc>
          <w:tcPr>
            <w:tcW w:w="3430" w:type="dxa"/>
            <w:vAlign w:val="center"/>
          </w:tcPr>
          <w:p>
            <w:pPr>
              <w:pStyle w:val="12"/>
            </w:pPr>
            <w:r>
              <w:t>研究成果刊发、媒体报道次数</w:t>
            </w:r>
          </w:p>
        </w:tc>
        <w:tc>
          <w:tcPr>
            <w:tcW w:w="2551" w:type="dxa"/>
            <w:vAlign w:val="center"/>
          </w:tcPr>
          <w:p>
            <w:pPr>
              <w:pStyle w:val="12"/>
            </w:pPr>
            <w:r>
              <w:t>≥2次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撰稿人满意度</w:t>
            </w:r>
          </w:p>
        </w:tc>
        <w:tc>
          <w:tcPr>
            <w:tcW w:w="3430" w:type="dxa"/>
            <w:vAlign w:val="center"/>
          </w:tcPr>
          <w:p>
            <w:pPr>
              <w:pStyle w:val="12"/>
            </w:pPr>
            <w:r>
              <w:t>撰稿人满意度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8" w:name="_Toc_4_4_0000000156"/>
      <w:r>
        <w:rPr>
          <w:rFonts w:hint="eastAsia" w:ascii="方正仿宋_GBK" w:hAnsi="方正仿宋_GBK" w:eastAsia="方正仿宋_GBK" w:cs="方正仿宋_GBK"/>
          <w:sz w:val="28"/>
          <w:lang w:val="en-US" w:eastAsia="zh-CN"/>
        </w:rPr>
        <w:t>9</w:t>
      </w:r>
      <w:r>
        <w:rPr>
          <w:rFonts w:ascii="方正仿宋_GBK" w:hAnsi="方正仿宋_GBK" w:eastAsia="方正仿宋_GBK" w:cs="方正仿宋_GBK"/>
          <w:sz w:val="28"/>
        </w:rPr>
        <w:t>.国家级非遗代表性传承人补助经费（2025年国家非物质文化遗产保护资金）-中央绩效目标表</w:t>
      </w:r>
      <w:bookmarkEnd w:id="8"/>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国家级非遗代表性传承人补助经费（2025年国家非物质文化遗产保护资金）-中央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71.00</w:t>
            </w:r>
          </w:p>
        </w:tc>
        <w:tc>
          <w:tcPr>
            <w:tcW w:w="1587" w:type="dxa"/>
            <w:vAlign w:val="center"/>
          </w:tcPr>
          <w:p>
            <w:pPr>
              <w:pStyle w:val="13"/>
            </w:pPr>
            <w:r>
              <w:t>其中：财政    资金</w:t>
            </w:r>
          </w:p>
        </w:tc>
        <w:tc>
          <w:tcPr>
            <w:tcW w:w="1843" w:type="dxa"/>
            <w:vAlign w:val="center"/>
          </w:tcPr>
          <w:p>
            <w:pPr>
              <w:pStyle w:val="12"/>
            </w:pPr>
            <w:r>
              <w:t>71.00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支付国家级非遗传承人补助经费。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1.通过对国家级非遗传承人发放补助经费，促进非遗事业发展。</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补助人员数量</w:t>
            </w:r>
          </w:p>
        </w:tc>
        <w:tc>
          <w:tcPr>
            <w:tcW w:w="3430" w:type="dxa"/>
            <w:vAlign w:val="center"/>
          </w:tcPr>
          <w:p>
            <w:pPr>
              <w:pStyle w:val="12"/>
            </w:pPr>
            <w:r>
              <w:t>补助人员数量</w:t>
            </w:r>
          </w:p>
        </w:tc>
        <w:tc>
          <w:tcPr>
            <w:tcW w:w="2551" w:type="dxa"/>
            <w:vAlign w:val="center"/>
          </w:tcPr>
          <w:p>
            <w:pPr>
              <w:pStyle w:val="12"/>
            </w:pPr>
            <w:r>
              <w:t>≥34人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补助发放到位率</w:t>
            </w:r>
          </w:p>
        </w:tc>
        <w:tc>
          <w:tcPr>
            <w:tcW w:w="3430" w:type="dxa"/>
            <w:vAlign w:val="center"/>
          </w:tcPr>
          <w:p>
            <w:pPr>
              <w:pStyle w:val="12"/>
            </w:pPr>
            <w:r>
              <w:t>补助发放到位率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补助发完成时间</w:t>
            </w:r>
          </w:p>
        </w:tc>
        <w:tc>
          <w:tcPr>
            <w:tcW w:w="3430" w:type="dxa"/>
            <w:vAlign w:val="center"/>
          </w:tcPr>
          <w:p>
            <w:pPr>
              <w:pStyle w:val="12"/>
            </w:pPr>
            <w:r>
              <w:t>补助发完成时间</w:t>
            </w:r>
          </w:p>
        </w:tc>
        <w:tc>
          <w:tcPr>
            <w:tcW w:w="2551" w:type="dxa"/>
            <w:vAlign w:val="center"/>
          </w:tcPr>
          <w:p>
            <w:pPr>
              <w:pStyle w:val="12"/>
            </w:pPr>
            <w:r>
              <w:t>2025年12月前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补助金额</w:t>
            </w:r>
          </w:p>
        </w:tc>
        <w:tc>
          <w:tcPr>
            <w:tcW w:w="3430" w:type="dxa"/>
            <w:vAlign w:val="center"/>
          </w:tcPr>
          <w:p>
            <w:pPr>
              <w:pStyle w:val="12"/>
            </w:pPr>
            <w:r>
              <w:t>补助金额</w:t>
            </w:r>
          </w:p>
        </w:tc>
        <w:tc>
          <w:tcPr>
            <w:tcW w:w="2551" w:type="dxa"/>
            <w:vAlign w:val="center"/>
          </w:tcPr>
          <w:p>
            <w:pPr>
              <w:pStyle w:val="12"/>
            </w:pPr>
            <w:r>
              <w:t>≤71万元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优秀传承人补助标准</w:t>
            </w:r>
          </w:p>
        </w:tc>
        <w:tc>
          <w:tcPr>
            <w:tcW w:w="3430" w:type="dxa"/>
            <w:vAlign w:val="center"/>
          </w:tcPr>
          <w:p>
            <w:pPr>
              <w:pStyle w:val="12"/>
            </w:pPr>
            <w:r>
              <w:t>优秀传承人补助标准</w:t>
            </w:r>
          </w:p>
        </w:tc>
        <w:tc>
          <w:tcPr>
            <w:tcW w:w="2551" w:type="dxa"/>
            <w:vAlign w:val="center"/>
          </w:tcPr>
          <w:p>
            <w:pPr>
              <w:pStyle w:val="12"/>
            </w:pPr>
            <w:r>
              <w:t>≤2.5万元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增加非遗传播推广渠道</w:t>
            </w:r>
          </w:p>
        </w:tc>
        <w:tc>
          <w:tcPr>
            <w:tcW w:w="3430" w:type="dxa"/>
            <w:vAlign w:val="center"/>
          </w:tcPr>
          <w:p>
            <w:pPr>
              <w:pStyle w:val="12"/>
            </w:pPr>
            <w:r>
              <w:t>增加非遗传播推广渠道</w:t>
            </w:r>
          </w:p>
        </w:tc>
        <w:tc>
          <w:tcPr>
            <w:tcW w:w="2551" w:type="dxa"/>
            <w:vAlign w:val="center"/>
          </w:tcPr>
          <w:p>
            <w:pPr>
              <w:pStyle w:val="12"/>
            </w:pPr>
            <w:r>
              <w:t>增加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对提高非遗传承人技能艺能的影响</w:t>
            </w:r>
          </w:p>
        </w:tc>
        <w:tc>
          <w:tcPr>
            <w:tcW w:w="3430" w:type="dxa"/>
            <w:vAlign w:val="center"/>
          </w:tcPr>
          <w:p>
            <w:pPr>
              <w:pStyle w:val="12"/>
            </w:pPr>
            <w:r>
              <w:t>对提高非遗传承人技能艺能的影响</w:t>
            </w:r>
          </w:p>
        </w:tc>
        <w:tc>
          <w:tcPr>
            <w:tcW w:w="2551" w:type="dxa"/>
            <w:vAlign w:val="center"/>
          </w:tcPr>
          <w:p>
            <w:pPr>
              <w:pStyle w:val="12"/>
            </w:pPr>
            <w:r>
              <w:t>长期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受补助国家级非遗传承人满意度</w:t>
            </w:r>
          </w:p>
        </w:tc>
        <w:tc>
          <w:tcPr>
            <w:tcW w:w="3430" w:type="dxa"/>
            <w:vAlign w:val="center"/>
          </w:tcPr>
          <w:p>
            <w:pPr>
              <w:pStyle w:val="12"/>
            </w:pPr>
            <w:r>
              <w:t>受补助国家级非遗传承人满意度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9" w:name="_Toc_4_4_0000000157"/>
      <w:r>
        <w:rPr>
          <w:rFonts w:ascii="方正仿宋_GBK" w:hAnsi="方正仿宋_GBK" w:eastAsia="方正仿宋_GBK" w:cs="方正仿宋_GBK"/>
          <w:sz w:val="28"/>
        </w:rPr>
        <w:t>1</w:t>
      </w:r>
      <w:r>
        <w:rPr>
          <w:rFonts w:hint="eastAsia" w:ascii="方正仿宋_GBK" w:hAnsi="方正仿宋_GBK" w:eastAsia="方正仿宋_GBK" w:cs="方正仿宋_GBK"/>
          <w:sz w:val="28"/>
          <w:lang w:val="en-US" w:eastAsia="zh-CN"/>
        </w:rPr>
        <w:t>0</w:t>
      </w:r>
      <w:r>
        <w:rPr>
          <w:rFonts w:ascii="方正仿宋_GBK" w:hAnsi="方正仿宋_GBK" w:eastAsia="方正仿宋_GBK" w:cs="方正仿宋_GBK"/>
          <w:sz w:val="28"/>
        </w:rPr>
        <w:t>.国家级非遗代表性传承人记录经费（2024年国家非物质文化遗产保护资金）-中央（第二批）绩效目标表</w:t>
      </w:r>
      <w:bookmarkEnd w:id="9"/>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国家级非遗代表性传承人记录经费（2024年国家非物质文化遗产保护资金）-中央（第二批）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55.02</w:t>
            </w:r>
          </w:p>
        </w:tc>
        <w:tc>
          <w:tcPr>
            <w:tcW w:w="1587" w:type="dxa"/>
            <w:vAlign w:val="center"/>
          </w:tcPr>
          <w:p>
            <w:pPr>
              <w:pStyle w:val="13"/>
            </w:pPr>
            <w:r>
              <w:t>其中：财政    资金</w:t>
            </w:r>
          </w:p>
        </w:tc>
        <w:tc>
          <w:tcPr>
            <w:tcW w:w="1843" w:type="dxa"/>
            <w:vAlign w:val="center"/>
          </w:tcPr>
          <w:p>
            <w:pPr>
              <w:pStyle w:val="12"/>
            </w:pPr>
            <w:r>
              <w:t>55.02</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支付项目拍摄相关费用。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1.通过拍摄非遗代表传承人记录，扩大非遗项目的传承手段。</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拍摄传承人口述次数</w:t>
            </w:r>
          </w:p>
        </w:tc>
        <w:tc>
          <w:tcPr>
            <w:tcW w:w="3430" w:type="dxa"/>
            <w:vAlign w:val="center"/>
          </w:tcPr>
          <w:p>
            <w:pPr>
              <w:pStyle w:val="12"/>
            </w:pPr>
            <w:r>
              <w:t>拍摄传承人口述次数</w:t>
            </w:r>
          </w:p>
        </w:tc>
        <w:tc>
          <w:tcPr>
            <w:tcW w:w="2551" w:type="dxa"/>
            <w:vAlign w:val="center"/>
          </w:tcPr>
          <w:p>
            <w:pPr>
              <w:pStyle w:val="12"/>
            </w:pPr>
            <w:r>
              <w:t>≥4次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拍摄传承人授徒传艺次数</w:t>
            </w:r>
          </w:p>
        </w:tc>
        <w:tc>
          <w:tcPr>
            <w:tcW w:w="3430" w:type="dxa"/>
            <w:vAlign w:val="center"/>
          </w:tcPr>
          <w:p>
            <w:pPr>
              <w:pStyle w:val="12"/>
            </w:pPr>
            <w:r>
              <w:t>拍摄传承人授徒传艺次数</w:t>
            </w:r>
          </w:p>
        </w:tc>
        <w:tc>
          <w:tcPr>
            <w:tcW w:w="2551" w:type="dxa"/>
            <w:vAlign w:val="center"/>
          </w:tcPr>
          <w:p>
            <w:pPr>
              <w:pStyle w:val="12"/>
            </w:pPr>
            <w:r>
              <w:t>≥4次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拍摄传承人实践活动次数</w:t>
            </w:r>
          </w:p>
        </w:tc>
        <w:tc>
          <w:tcPr>
            <w:tcW w:w="3430" w:type="dxa"/>
            <w:vAlign w:val="center"/>
          </w:tcPr>
          <w:p>
            <w:pPr>
              <w:pStyle w:val="12"/>
            </w:pPr>
            <w:r>
              <w:t>拍摄传承人实践活动次数</w:t>
            </w:r>
          </w:p>
        </w:tc>
        <w:tc>
          <w:tcPr>
            <w:tcW w:w="2551" w:type="dxa"/>
            <w:vAlign w:val="center"/>
          </w:tcPr>
          <w:p>
            <w:pPr>
              <w:pStyle w:val="12"/>
            </w:pPr>
            <w:r>
              <w:t>≥4次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剪辑成片数</w:t>
            </w:r>
          </w:p>
        </w:tc>
        <w:tc>
          <w:tcPr>
            <w:tcW w:w="3430" w:type="dxa"/>
            <w:vAlign w:val="center"/>
          </w:tcPr>
          <w:p>
            <w:pPr>
              <w:pStyle w:val="12"/>
            </w:pPr>
            <w:r>
              <w:t>剪辑成片数</w:t>
            </w:r>
          </w:p>
        </w:tc>
        <w:tc>
          <w:tcPr>
            <w:tcW w:w="2551" w:type="dxa"/>
            <w:vAlign w:val="center"/>
          </w:tcPr>
          <w:p>
            <w:pPr>
              <w:pStyle w:val="12"/>
            </w:pPr>
            <w:r>
              <w:t>≥8个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实施代表性传承人记录工作人数</w:t>
            </w:r>
          </w:p>
        </w:tc>
        <w:tc>
          <w:tcPr>
            <w:tcW w:w="3430" w:type="dxa"/>
            <w:vAlign w:val="center"/>
          </w:tcPr>
          <w:p>
            <w:pPr>
              <w:pStyle w:val="12"/>
            </w:pPr>
            <w:r>
              <w:t>实施代表性传承人记录工作人数</w:t>
            </w:r>
          </w:p>
        </w:tc>
        <w:tc>
          <w:tcPr>
            <w:tcW w:w="2551" w:type="dxa"/>
            <w:vAlign w:val="center"/>
          </w:tcPr>
          <w:p>
            <w:pPr>
              <w:pStyle w:val="12"/>
            </w:pPr>
            <w:r>
              <w:t>≥3人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留存非遗项目数字化资料达标率</w:t>
            </w:r>
          </w:p>
        </w:tc>
        <w:tc>
          <w:tcPr>
            <w:tcW w:w="3430" w:type="dxa"/>
            <w:vAlign w:val="center"/>
          </w:tcPr>
          <w:p>
            <w:pPr>
              <w:pStyle w:val="12"/>
            </w:pPr>
            <w:r>
              <w:t>留存非遗项目数字化资料达标率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增加非遗保护手段数字化覆盖率</w:t>
            </w:r>
          </w:p>
        </w:tc>
        <w:tc>
          <w:tcPr>
            <w:tcW w:w="3430" w:type="dxa"/>
            <w:vAlign w:val="center"/>
          </w:tcPr>
          <w:p>
            <w:pPr>
              <w:pStyle w:val="12"/>
            </w:pPr>
            <w:r>
              <w:t>增加非遗保护手段数字化覆盖率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代表性传承人记录工作实施完成率</w:t>
            </w:r>
          </w:p>
        </w:tc>
        <w:tc>
          <w:tcPr>
            <w:tcW w:w="3430" w:type="dxa"/>
            <w:vAlign w:val="center"/>
          </w:tcPr>
          <w:p>
            <w:pPr>
              <w:pStyle w:val="12"/>
            </w:pPr>
            <w:r>
              <w:t>代表性传承人记录工作实施完成率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非遗代表传承人记录拍摄及时率</w:t>
            </w:r>
          </w:p>
        </w:tc>
        <w:tc>
          <w:tcPr>
            <w:tcW w:w="3430" w:type="dxa"/>
            <w:vAlign w:val="center"/>
          </w:tcPr>
          <w:p>
            <w:pPr>
              <w:pStyle w:val="12"/>
            </w:pPr>
            <w:r>
              <w:t>非遗代表传承人记录拍摄及时率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非遗代表传承人记录拍摄经费</w:t>
            </w:r>
          </w:p>
        </w:tc>
        <w:tc>
          <w:tcPr>
            <w:tcW w:w="3430" w:type="dxa"/>
            <w:vAlign w:val="center"/>
          </w:tcPr>
          <w:p>
            <w:pPr>
              <w:pStyle w:val="12"/>
            </w:pPr>
            <w:r>
              <w:t>非遗代表传承人记录拍摄经费</w:t>
            </w:r>
          </w:p>
        </w:tc>
        <w:tc>
          <w:tcPr>
            <w:tcW w:w="2551" w:type="dxa"/>
            <w:vAlign w:val="center"/>
          </w:tcPr>
          <w:p>
            <w:pPr>
              <w:pStyle w:val="12"/>
            </w:pPr>
            <w:r>
              <w:t>≤55.02万元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通过记录工作扩大传播渠道</w:t>
            </w:r>
          </w:p>
        </w:tc>
        <w:tc>
          <w:tcPr>
            <w:tcW w:w="3430" w:type="dxa"/>
            <w:vAlign w:val="center"/>
          </w:tcPr>
          <w:p>
            <w:pPr>
              <w:pStyle w:val="12"/>
            </w:pPr>
            <w:r>
              <w:t>通过记录工作扩大传播渠道</w:t>
            </w:r>
          </w:p>
        </w:tc>
        <w:tc>
          <w:tcPr>
            <w:tcW w:w="2551" w:type="dxa"/>
            <w:vAlign w:val="center"/>
          </w:tcPr>
          <w:p>
            <w:pPr>
              <w:pStyle w:val="12"/>
            </w:pPr>
            <w:r>
              <w:t>增加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非遗传承记录对提升传承人技能艺能的影响</w:t>
            </w:r>
          </w:p>
        </w:tc>
        <w:tc>
          <w:tcPr>
            <w:tcW w:w="3430" w:type="dxa"/>
            <w:vAlign w:val="center"/>
          </w:tcPr>
          <w:p>
            <w:pPr>
              <w:pStyle w:val="12"/>
            </w:pPr>
            <w:r>
              <w:t>非遗传承记录对提升传承人技能艺能的影响</w:t>
            </w:r>
          </w:p>
        </w:tc>
        <w:tc>
          <w:tcPr>
            <w:tcW w:w="2551" w:type="dxa"/>
            <w:vAlign w:val="center"/>
          </w:tcPr>
          <w:p>
            <w:pPr>
              <w:pStyle w:val="12"/>
            </w:pPr>
            <w:r>
              <w:t>长期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对提升非遗社会关注度的影响</w:t>
            </w:r>
          </w:p>
        </w:tc>
        <w:tc>
          <w:tcPr>
            <w:tcW w:w="3430" w:type="dxa"/>
            <w:vAlign w:val="center"/>
          </w:tcPr>
          <w:p>
            <w:pPr>
              <w:pStyle w:val="12"/>
            </w:pPr>
            <w:r>
              <w:t>对提升非遗社会关注度的影响</w:t>
            </w:r>
          </w:p>
        </w:tc>
        <w:tc>
          <w:tcPr>
            <w:tcW w:w="2551" w:type="dxa"/>
            <w:vAlign w:val="center"/>
          </w:tcPr>
          <w:p>
            <w:pPr>
              <w:pStyle w:val="12"/>
            </w:pPr>
            <w:r>
              <w:t>长期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记录的传承人满意度</w:t>
            </w:r>
          </w:p>
        </w:tc>
        <w:tc>
          <w:tcPr>
            <w:tcW w:w="3430" w:type="dxa"/>
            <w:vAlign w:val="center"/>
          </w:tcPr>
          <w:p>
            <w:pPr>
              <w:pStyle w:val="12"/>
            </w:pPr>
            <w:r>
              <w:t>记录的传承人满意度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10" w:name="_Toc_4_4_0000000158"/>
      <w:r>
        <w:rPr>
          <w:rFonts w:ascii="方正仿宋_GBK" w:hAnsi="方正仿宋_GBK" w:eastAsia="方正仿宋_GBK" w:cs="方正仿宋_GBK"/>
          <w:sz w:val="28"/>
        </w:rPr>
        <w:t>1</w:t>
      </w:r>
      <w:r>
        <w:rPr>
          <w:rFonts w:hint="eastAsia" w:ascii="方正仿宋_GBK" w:hAnsi="方正仿宋_GBK" w:eastAsia="方正仿宋_GBK" w:cs="方正仿宋_GBK"/>
          <w:sz w:val="28"/>
          <w:lang w:val="en-US" w:eastAsia="zh-CN"/>
        </w:rPr>
        <w:t>1</w:t>
      </w:r>
      <w:r>
        <w:rPr>
          <w:rFonts w:ascii="方正仿宋_GBK" w:hAnsi="方正仿宋_GBK" w:eastAsia="方正仿宋_GBK" w:cs="方正仿宋_GBK"/>
          <w:sz w:val="28"/>
        </w:rPr>
        <w:t>.国家级非遗代表性传承人记录经费（2025年国家非物质文化遗产保护资金）-中央绩效目标表</w:t>
      </w:r>
      <w:bookmarkEnd w:id="10"/>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国家级非遗代表性传承人记录经费（2025年国家非物质文化遗产保护资金）-中央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80.00</w:t>
            </w:r>
          </w:p>
        </w:tc>
        <w:tc>
          <w:tcPr>
            <w:tcW w:w="1587" w:type="dxa"/>
            <w:vAlign w:val="center"/>
          </w:tcPr>
          <w:p>
            <w:pPr>
              <w:pStyle w:val="13"/>
            </w:pPr>
            <w:r>
              <w:t>其中：财政    资金</w:t>
            </w:r>
          </w:p>
        </w:tc>
        <w:tc>
          <w:tcPr>
            <w:tcW w:w="1843" w:type="dxa"/>
            <w:vAlign w:val="center"/>
          </w:tcPr>
          <w:p>
            <w:pPr>
              <w:pStyle w:val="12"/>
            </w:pPr>
            <w:r>
              <w:t>80.00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支付传承人拍摄记录费用。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1.通过拍摄非遗代表传承人记录，扩大非遗项目的传承手段，使国家级非遗项目得到更好的传承和保护。</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拍摄传承人口述次数</w:t>
            </w:r>
          </w:p>
        </w:tc>
        <w:tc>
          <w:tcPr>
            <w:tcW w:w="3430" w:type="dxa"/>
            <w:vAlign w:val="center"/>
          </w:tcPr>
          <w:p>
            <w:pPr>
              <w:pStyle w:val="12"/>
            </w:pPr>
            <w:r>
              <w:t>拍摄传承人口述次数</w:t>
            </w:r>
          </w:p>
        </w:tc>
        <w:tc>
          <w:tcPr>
            <w:tcW w:w="2551" w:type="dxa"/>
            <w:vAlign w:val="center"/>
          </w:tcPr>
          <w:p>
            <w:pPr>
              <w:pStyle w:val="12"/>
            </w:pPr>
            <w:r>
              <w:t>≥6次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拍摄传承人授徒传艺次数</w:t>
            </w:r>
          </w:p>
        </w:tc>
        <w:tc>
          <w:tcPr>
            <w:tcW w:w="3430" w:type="dxa"/>
            <w:vAlign w:val="center"/>
          </w:tcPr>
          <w:p>
            <w:pPr>
              <w:pStyle w:val="12"/>
            </w:pPr>
            <w:r>
              <w:t>拍摄传承人授徒传艺次数</w:t>
            </w:r>
          </w:p>
        </w:tc>
        <w:tc>
          <w:tcPr>
            <w:tcW w:w="2551" w:type="dxa"/>
            <w:vAlign w:val="center"/>
          </w:tcPr>
          <w:p>
            <w:pPr>
              <w:pStyle w:val="12"/>
            </w:pPr>
            <w:r>
              <w:t>≥3次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拍摄传承人实践活动次数</w:t>
            </w:r>
          </w:p>
        </w:tc>
        <w:tc>
          <w:tcPr>
            <w:tcW w:w="3430" w:type="dxa"/>
            <w:vAlign w:val="center"/>
          </w:tcPr>
          <w:p>
            <w:pPr>
              <w:pStyle w:val="12"/>
            </w:pPr>
            <w:r>
              <w:t>拍摄传承人实践活动次数</w:t>
            </w:r>
          </w:p>
        </w:tc>
        <w:tc>
          <w:tcPr>
            <w:tcW w:w="2551" w:type="dxa"/>
            <w:vAlign w:val="center"/>
          </w:tcPr>
          <w:p>
            <w:pPr>
              <w:pStyle w:val="12"/>
            </w:pPr>
            <w:r>
              <w:t>≥3次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剪辑成片数</w:t>
            </w:r>
          </w:p>
        </w:tc>
        <w:tc>
          <w:tcPr>
            <w:tcW w:w="3430" w:type="dxa"/>
            <w:vAlign w:val="center"/>
          </w:tcPr>
          <w:p>
            <w:pPr>
              <w:pStyle w:val="12"/>
            </w:pPr>
            <w:r>
              <w:t>剪辑成片数</w:t>
            </w:r>
          </w:p>
        </w:tc>
        <w:tc>
          <w:tcPr>
            <w:tcW w:w="2551" w:type="dxa"/>
            <w:vAlign w:val="center"/>
          </w:tcPr>
          <w:p>
            <w:pPr>
              <w:pStyle w:val="12"/>
            </w:pPr>
            <w:r>
              <w:t>≥10个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实施代表性传承人记录工作人数</w:t>
            </w:r>
          </w:p>
        </w:tc>
        <w:tc>
          <w:tcPr>
            <w:tcW w:w="3430" w:type="dxa"/>
            <w:vAlign w:val="center"/>
          </w:tcPr>
          <w:p>
            <w:pPr>
              <w:pStyle w:val="12"/>
            </w:pPr>
            <w:r>
              <w:t>实施代表性传承人记录工作人数</w:t>
            </w:r>
          </w:p>
        </w:tc>
        <w:tc>
          <w:tcPr>
            <w:tcW w:w="2551" w:type="dxa"/>
            <w:vAlign w:val="center"/>
          </w:tcPr>
          <w:p>
            <w:pPr>
              <w:pStyle w:val="12"/>
            </w:pPr>
            <w:r>
              <w:t>≥2人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留存非遗项目数字化资料达标率</w:t>
            </w:r>
          </w:p>
        </w:tc>
        <w:tc>
          <w:tcPr>
            <w:tcW w:w="3430" w:type="dxa"/>
            <w:vAlign w:val="center"/>
          </w:tcPr>
          <w:p>
            <w:pPr>
              <w:pStyle w:val="12"/>
            </w:pPr>
            <w:r>
              <w:t>留存非遗项目数字化资料达标率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增加非遗保护手段数字化覆盖率</w:t>
            </w:r>
          </w:p>
        </w:tc>
        <w:tc>
          <w:tcPr>
            <w:tcW w:w="3430" w:type="dxa"/>
            <w:vAlign w:val="center"/>
          </w:tcPr>
          <w:p>
            <w:pPr>
              <w:pStyle w:val="12"/>
            </w:pPr>
            <w:r>
              <w:t>增加非遗保护手段数字化覆盖率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代表性传承人记录工作实施完成率</w:t>
            </w:r>
          </w:p>
        </w:tc>
        <w:tc>
          <w:tcPr>
            <w:tcW w:w="3430" w:type="dxa"/>
            <w:vAlign w:val="center"/>
          </w:tcPr>
          <w:p>
            <w:pPr>
              <w:pStyle w:val="12"/>
            </w:pPr>
            <w:r>
              <w:t>代表性传承人记录工作实施完成率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非遗代表传承人记录拍摄及时率</w:t>
            </w:r>
          </w:p>
        </w:tc>
        <w:tc>
          <w:tcPr>
            <w:tcW w:w="3430" w:type="dxa"/>
            <w:vAlign w:val="center"/>
          </w:tcPr>
          <w:p>
            <w:pPr>
              <w:pStyle w:val="12"/>
            </w:pPr>
            <w:r>
              <w:t>非遗代表传承人记录拍摄及时率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非遗代表传承人记录拍摄经费</w:t>
            </w:r>
          </w:p>
        </w:tc>
        <w:tc>
          <w:tcPr>
            <w:tcW w:w="3430" w:type="dxa"/>
            <w:vAlign w:val="center"/>
          </w:tcPr>
          <w:p>
            <w:pPr>
              <w:pStyle w:val="12"/>
            </w:pPr>
            <w:r>
              <w:t>非遗代表传承人记录拍摄经费</w:t>
            </w:r>
          </w:p>
        </w:tc>
        <w:tc>
          <w:tcPr>
            <w:tcW w:w="2551" w:type="dxa"/>
            <w:vAlign w:val="center"/>
          </w:tcPr>
          <w:p>
            <w:pPr>
              <w:pStyle w:val="12"/>
            </w:pPr>
            <w:r>
              <w:t>≤80万元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每名国家级非遗传承人拍摄记录工作经费</w:t>
            </w:r>
          </w:p>
        </w:tc>
        <w:tc>
          <w:tcPr>
            <w:tcW w:w="3430" w:type="dxa"/>
            <w:vAlign w:val="center"/>
          </w:tcPr>
          <w:p>
            <w:pPr>
              <w:pStyle w:val="12"/>
            </w:pPr>
            <w:r>
              <w:t>每名国家级非遗传承人拍摄记录工作经费</w:t>
            </w:r>
          </w:p>
        </w:tc>
        <w:tc>
          <w:tcPr>
            <w:tcW w:w="2551" w:type="dxa"/>
            <w:vAlign w:val="center"/>
          </w:tcPr>
          <w:p>
            <w:pPr>
              <w:pStyle w:val="12"/>
            </w:pPr>
            <w:r>
              <w:t>≤40万元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通过记录工作增加传播渠道</w:t>
            </w:r>
          </w:p>
        </w:tc>
        <w:tc>
          <w:tcPr>
            <w:tcW w:w="3430" w:type="dxa"/>
            <w:vAlign w:val="center"/>
          </w:tcPr>
          <w:p>
            <w:pPr>
              <w:pStyle w:val="12"/>
            </w:pPr>
            <w:r>
              <w:t>通过记录工作增加传播渠道</w:t>
            </w:r>
          </w:p>
        </w:tc>
        <w:tc>
          <w:tcPr>
            <w:tcW w:w="2551" w:type="dxa"/>
            <w:vAlign w:val="center"/>
          </w:tcPr>
          <w:p>
            <w:pPr>
              <w:pStyle w:val="12"/>
            </w:pPr>
            <w:r>
              <w:t>有效增加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非遗传承记录对提升传承人技能艺能的影响</w:t>
            </w:r>
          </w:p>
        </w:tc>
        <w:tc>
          <w:tcPr>
            <w:tcW w:w="3430" w:type="dxa"/>
            <w:vAlign w:val="center"/>
          </w:tcPr>
          <w:p>
            <w:pPr>
              <w:pStyle w:val="12"/>
            </w:pPr>
            <w:r>
              <w:t>非遗传承记录对提升传承人技能艺能的影响</w:t>
            </w:r>
          </w:p>
        </w:tc>
        <w:tc>
          <w:tcPr>
            <w:tcW w:w="2551" w:type="dxa"/>
            <w:vAlign w:val="center"/>
          </w:tcPr>
          <w:p>
            <w:pPr>
              <w:pStyle w:val="12"/>
            </w:pPr>
            <w:r>
              <w:t>长期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可持续影响指标</w:t>
            </w:r>
          </w:p>
        </w:tc>
        <w:tc>
          <w:tcPr>
            <w:tcW w:w="1332" w:type="dxa"/>
            <w:vAlign w:val="center"/>
          </w:tcPr>
          <w:p>
            <w:pPr>
              <w:pStyle w:val="12"/>
            </w:pPr>
            <w:r>
              <w:t>对提升非遗社会关注度的影响</w:t>
            </w:r>
          </w:p>
        </w:tc>
        <w:tc>
          <w:tcPr>
            <w:tcW w:w="3430" w:type="dxa"/>
            <w:vAlign w:val="center"/>
          </w:tcPr>
          <w:p>
            <w:pPr>
              <w:pStyle w:val="12"/>
            </w:pPr>
            <w:r>
              <w:t>对提升非遗社会关注度的影响</w:t>
            </w:r>
          </w:p>
        </w:tc>
        <w:tc>
          <w:tcPr>
            <w:tcW w:w="2551" w:type="dxa"/>
            <w:vAlign w:val="center"/>
          </w:tcPr>
          <w:p>
            <w:pPr>
              <w:pStyle w:val="12"/>
            </w:pPr>
            <w:r>
              <w:t>长期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记录的传承人满意度</w:t>
            </w:r>
          </w:p>
        </w:tc>
        <w:tc>
          <w:tcPr>
            <w:tcW w:w="3430" w:type="dxa"/>
            <w:vAlign w:val="center"/>
          </w:tcPr>
          <w:p>
            <w:pPr>
              <w:pStyle w:val="12"/>
            </w:pPr>
            <w:r>
              <w:t>记录的传承人满意度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11" w:name="_Toc_4_4_0000000159"/>
      <w:r>
        <w:rPr>
          <w:rFonts w:ascii="方正仿宋_GBK" w:hAnsi="方正仿宋_GBK" w:eastAsia="方正仿宋_GBK" w:cs="方正仿宋_GBK"/>
          <w:sz w:val="28"/>
        </w:rPr>
        <w:t>1</w:t>
      </w:r>
      <w:r>
        <w:rPr>
          <w:rFonts w:hint="eastAsia" w:ascii="方正仿宋_GBK" w:hAnsi="方正仿宋_GBK" w:eastAsia="方正仿宋_GBK" w:cs="方正仿宋_GBK"/>
          <w:sz w:val="28"/>
          <w:lang w:val="en-US" w:eastAsia="zh-CN"/>
        </w:rPr>
        <w:t>2</w:t>
      </w:r>
      <w:r>
        <w:rPr>
          <w:rFonts w:ascii="方正仿宋_GBK" w:hAnsi="方正仿宋_GBK" w:eastAsia="方正仿宋_GBK" w:cs="方正仿宋_GBK"/>
          <w:sz w:val="28"/>
        </w:rPr>
        <w:t>.市级（国家级）非遗代表性传承人传承活动评估绩效目标表</w:t>
      </w:r>
      <w:bookmarkEnd w:id="11"/>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市级（国家级）非遗代表性传承人传承活动评估</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12.30</w:t>
            </w:r>
          </w:p>
        </w:tc>
        <w:tc>
          <w:tcPr>
            <w:tcW w:w="1587" w:type="dxa"/>
            <w:vAlign w:val="center"/>
          </w:tcPr>
          <w:p>
            <w:pPr>
              <w:pStyle w:val="13"/>
            </w:pPr>
            <w:r>
              <w:t>其中：财政    资金</w:t>
            </w:r>
          </w:p>
        </w:tc>
        <w:tc>
          <w:tcPr>
            <w:tcW w:w="1843" w:type="dxa"/>
            <w:vAlign w:val="center"/>
          </w:tcPr>
          <w:p>
            <w:pPr>
              <w:pStyle w:val="12"/>
            </w:pPr>
            <w:r>
              <w:t>12.30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支付传承人评估产生的各种费用。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1.通过评估全面掌握非遗代表性传承人传承活动和项目存续状况的同时，督促传承人履行传承责任。</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最终评估报告数量</w:t>
            </w:r>
          </w:p>
        </w:tc>
        <w:tc>
          <w:tcPr>
            <w:tcW w:w="3430" w:type="dxa"/>
            <w:vAlign w:val="center"/>
          </w:tcPr>
          <w:p>
            <w:pPr>
              <w:pStyle w:val="12"/>
            </w:pPr>
            <w:r>
              <w:t>最终评估报告数量</w:t>
            </w:r>
          </w:p>
        </w:tc>
        <w:tc>
          <w:tcPr>
            <w:tcW w:w="2551" w:type="dxa"/>
            <w:vAlign w:val="center"/>
          </w:tcPr>
          <w:p>
            <w:pPr>
              <w:pStyle w:val="12"/>
            </w:pPr>
            <w:r>
              <w:t>1份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聘请评估专家人数</w:t>
            </w:r>
          </w:p>
        </w:tc>
        <w:tc>
          <w:tcPr>
            <w:tcW w:w="3430" w:type="dxa"/>
            <w:vAlign w:val="center"/>
          </w:tcPr>
          <w:p>
            <w:pPr>
              <w:pStyle w:val="12"/>
            </w:pPr>
            <w:r>
              <w:t>聘请评估专家人数</w:t>
            </w:r>
          </w:p>
        </w:tc>
        <w:tc>
          <w:tcPr>
            <w:tcW w:w="2551" w:type="dxa"/>
            <w:vAlign w:val="center"/>
          </w:tcPr>
          <w:p>
            <w:pPr>
              <w:pStyle w:val="12"/>
            </w:pPr>
            <w:r>
              <w:t>≥5人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评估总人数</w:t>
            </w:r>
          </w:p>
        </w:tc>
        <w:tc>
          <w:tcPr>
            <w:tcW w:w="3430" w:type="dxa"/>
            <w:vAlign w:val="center"/>
          </w:tcPr>
          <w:p>
            <w:pPr>
              <w:pStyle w:val="12"/>
            </w:pPr>
            <w:r>
              <w:t>评估总人数</w:t>
            </w:r>
          </w:p>
        </w:tc>
        <w:tc>
          <w:tcPr>
            <w:tcW w:w="2551" w:type="dxa"/>
            <w:vAlign w:val="center"/>
          </w:tcPr>
          <w:p>
            <w:pPr>
              <w:pStyle w:val="12"/>
            </w:pPr>
            <w:r>
              <w:t>≥200人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聘请专家资质达标率</w:t>
            </w:r>
          </w:p>
        </w:tc>
        <w:tc>
          <w:tcPr>
            <w:tcW w:w="3430" w:type="dxa"/>
            <w:vAlign w:val="center"/>
          </w:tcPr>
          <w:p>
            <w:pPr>
              <w:pStyle w:val="12"/>
            </w:pPr>
            <w:r>
              <w:t>聘请专家资质达标率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完成评估工作时间</w:t>
            </w:r>
          </w:p>
        </w:tc>
        <w:tc>
          <w:tcPr>
            <w:tcW w:w="3430" w:type="dxa"/>
            <w:vAlign w:val="center"/>
          </w:tcPr>
          <w:p>
            <w:pPr>
              <w:pStyle w:val="12"/>
            </w:pPr>
            <w:r>
              <w:t>完成评估工作时间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评估相关总费用</w:t>
            </w:r>
          </w:p>
        </w:tc>
        <w:tc>
          <w:tcPr>
            <w:tcW w:w="3430" w:type="dxa"/>
            <w:vAlign w:val="center"/>
          </w:tcPr>
          <w:p>
            <w:pPr>
              <w:pStyle w:val="12"/>
            </w:pPr>
            <w:r>
              <w:t>评估相关总费用</w:t>
            </w:r>
          </w:p>
        </w:tc>
        <w:tc>
          <w:tcPr>
            <w:tcW w:w="2551" w:type="dxa"/>
            <w:vAlign w:val="center"/>
          </w:tcPr>
          <w:p>
            <w:pPr>
              <w:pStyle w:val="12"/>
            </w:pPr>
            <w:r>
              <w:t>≤12.3万元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聘请专家费用标准</w:t>
            </w:r>
          </w:p>
        </w:tc>
        <w:tc>
          <w:tcPr>
            <w:tcW w:w="3430" w:type="dxa"/>
            <w:vAlign w:val="center"/>
          </w:tcPr>
          <w:p>
            <w:pPr>
              <w:pStyle w:val="12"/>
            </w:pPr>
            <w:r>
              <w:t>聘请专家费用标准</w:t>
            </w:r>
          </w:p>
        </w:tc>
        <w:tc>
          <w:tcPr>
            <w:tcW w:w="2551" w:type="dxa"/>
            <w:vAlign w:val="center"/>
          </w:tcPr>
          <w:p>
            <w:pPr>
              <w:pStyle w:val="12"/>
            </w:pPr>
            <w:r>
              <w:t>≤800元/人/天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督促传承人履行传承责任</w:t>
            </w:r>
          </w:p>
        </w:tc>
        <w:tc>
          <w:tcPr>
            <w:tcW w:w="3430" w:type="dxa"/>
            <w:vAlign w:val="center"/>
          </w:tcPr>
          <w:p>
            <w:pPr>
              <w:pStyle w:val="12"/>
            </w:pPr>
            <w:r>
              <w:t>督促传承人履行传承责任</w:t>
            </w:r>
          </w:p>
        </w:tc>
        <w:tc>
          <w:tcPr>
            <w:tcW w:w="2551" w:type="dxa"/>
            <w:vAlign w:val="center"/>
          </w:tcPr>
          <w:p>
            <w:pPr>
              <w:pStyle w:val="12"/>
            </w:pPr>
            <w:r>
              <w:t>进一步督促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参与评估的非遗代表性传承人满意度</w:t>
            </w:r>
          </w:p>
        </w:tc>
        <w:tc>
          <w:tcPr>
            <w:tcW w:w="3430" w:type="dxa"/>
            <w:vAlign w:val="center"/>
          </w:tcPr>
          <w:p>
            <w:pPr>
              <w:pStyle w:val="12"/>
            </w:pPr>
            <w:r>
              <w:t>参与评估的非遗代表性传承人满意度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12" w:name="_Toc_4_4_0000000160"/>
      <w:r>
        <w:rPr>
          <w:rFonts w:ascii="方正仿宋_GBK" w:hAnsi="方正仿宋_GBK" w:eastAsia="方正仿宋_GBK" w:cs="方正仿宋_GBK"/>
          <w:sz w:val="28"/>
        </w:rPr>
        <w:t>1</w:t>
      </w:r>
      <w:r>
        <w:rPr>
          <w:rFonts w:hint="eastAsia" w:ascii="方正仿宋_GBK" w:hAnsi="方正仿宋_GBK" w:eastAsia="方正仿宋_GBK" w:cs="方正仿宋_GBK"/>
          <w:sz w:val="28"/>
          <w:lang w:val="en-US" w:eastAsia="zh-CN"/>
        </w:rPr>
        <w:t>3</w:t>
      </w:r>
      <w:r>
        <w:rPr>
          <w:rFonts w:ascii="方正仿宋_GBK" w:hAnsi="方正仿宋_GBK" w:eastAsia="方正仿宋_GBK" w:cs="方正仿宋_GBK"/>
          <w:sz w:val="28"/>
        </w:rPr>
        <w:t>.文旅宣传-CCTV-1《非遗里的中国》广告等项目经费绩效目标表</w:t>
      </w:r>
      <w:bookmarkEnd w:id="12"/>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文旅宣传-CCTV-1《非遗里的中国》广告等项目经费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245.00</w:t>
            </w:r>
          </w:p>
        </w:tc>
        <w:tc>
          <w:tcPr>
            <w:tcW w:w="1587" w:type="dxa"/>
            <w:vAlign w:val="center"/>
          </w:tcPr>
          <w:p>
            <w:pPr>
              <w:pStyle w:val="13"/>
            </w:pPr>
            <w:r>
              <w:t>其中：财政    资金</w:t>
            </w:r>
          </w:p>
        </w:tc>
        <w:tc>
          <w:tcPr>
            <w:tcW w:w="1843" w:type="dxa"/>
            <w:vAlign w:val="center"/>
          </w:tcPr>
          <w:p>
            <w:pPr>
              <w:pStyle w:val="12"/>
            </w:pPr>
            <w:r>
              <w:t>245.00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支付广告播放相关费用。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1.在央视投放广告，推动天津非遗发展与传播，开启非遗赋能的新文旅样态，有效推动天津“旅游+非遗”的深度融合发展。</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广告播放时长</w:t>
            </w:r>
          </w:p>
        </w:tc>
        <w:tc>
          <w:tcPr>
            <w:tcW w:w="3430" w:type="dxa"/>
            <w:vAlign w:val="center"/>
          </w:tcPr>
          <w:p>
            <w:pPr>
              <w:pStyle w:val="12"/>
            </w:pPr>
            <w:r>
              <w:t>广告播放时长</w:t>
            </w:r>
          </w:p>
        </w:tc>
        <w:tc>
          <w:tcPr>
            <w:tcW w:w="2551" w:type="dxa"/>
            <w:vAlign w:val="center"/>
          </w:tcPr>
          <w:p>
            <w:pPr>
              <w:pStyle w:val="12"/>
            </w:pPr>
            <w:r>
              <w:t>≥15秒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宣传视频制作个数</w:t>
            </w:r>
          </w:p>
        </w:tc>
        <w:tc>
          <w:tcPr>
            <w:tcW w:w="3430" w:type="dxa"/>
            <w:vAlign w:val="center"/>
          </w:tcPr>
          <w:p>
            <w:pPr>
              <w:pStyle w:val="12"/>
            </w:pPr>
            <w:r>
              <w:t>宣传视频制作个数</w:t>
            </w:r>
          </w:p>
        </w:tc>
        <w:tc>
          <w:tcPr>
            <w:tcW w:w="2551" w:type="dxa"/>
            <w:vAlign w:val="center"/>
          </w:tcPr>
          <w:p>
            <w:pPr>
              <w:pStyle w:val="12"/>
            </w:pPr>
            <w:r>
              <w:t>≥90个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组织年度活动场次</w:t>
            </w:r>
          </w:p>
        </w:tc>
        <w:tc>
          <w:tcPr>
            <w:tcW w:w="3430" w:type="dxa"/>
            <w:vAlign w:val="center"/>
          </w:tcPr>
          <w:p>
            <w:pPr>
              <w:pStyle w:val="12"/>
            </w:pPr>
            <w:r>
              <w:t>组织年度活动场次</w:t>
            </w:r>
          </w:p>
        </w:tc>
        <w:tc>
          <w:tcPr>
            <w:tcW w:w="2551" w:type="dxa"/>
            <w:vAlign w:val="center"/>
          </w:tcPr>
          <w:p>
            <w:pPr>
              <w:pStyle w:val="12"/>
            </w:pPr>
            <w:r>
              <w:t>≥2场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 xml:space="preserve">播放质量达标率 </w:t>
            </w:r>
          </w:p>
        </w:tc>
        <w:tc>
          <w:tcPr>
            <w:tcW w:w="3430" w:type="dxa"/>
            <w:vAlign w:val="center"/>
          </w:tcPr>
          <w:p>
            <w:pPr>
              <w:pStyle w:val="12"/>
            </w:pPr>
            <w:r>
              <w:t xml:space="preserve">播放质量达标率 </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视频拍摄完成率</w:t>
            </w:r>
          </w:p>
        </w:tc>
        <w:tc>
          <w:tcPr>
            <w:tcW w:w="3430" w:type="dxa"/>
            <w:vAlign w:val="center"/>
          </w:tcPr>
          <w:p>
            <w:pPr>
              <w:pStyle w:val="12"/>
            </w:pPr>
            <w:r>
              <w:t>视频拍摄完成率</w:t>
            </w:r>
          </w:p>
        </w:tc>
        <w:tc>
          <w:tcPr>
            <w:tcW w:w="2551" w:type="dxa"/>
            <w:vAlign w:val="center"/>
          </w:tcPr>
          <w:p>
            <w:pPr>
              <w:pStyle w:val="12"/>
            </w:pPr>
            <w:r>
              <w:t>≥95%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活动完成率</w:t>
            </w:r>
          </w:p>
        </w:tc>
        <w:tc>
          <w:tcPr>
            <w:tcW w:w="3430" w:type="dxa"/>
            <w:vAlign w:val="center"/>
          </w:tcPr>
          <w:p>
            <w:pPr>
              <w:pStyle w:val="12"/>
            </w:pPr>
            <w:r>
              <w:t>活动完成率</w:t>
            </w:r>
          </w:p>
        </w:tc>
        <w:tc>
          <w:tcPr>
            <w:tcW w:w="2551" w:type="dxa"/>
            <w:vAlign w:val="center"/>
          </w:tcPr>
          <w:p>
            <w:pPr>
              <w:pStyle w:val="12"/>
            </w:pPr>
            <w:r>
              <w:t>≥95%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播放完成时间</w:t>
            </w:r>
          </w:p>
        </w:tc>
        <w:tc>
          <w:tcPr>
            <w:tcW w:w="3430" w:type="dxa"/>
            <w:vAlign w:val="center"/>
          </w:tcPr>
          <w:p>
            <w:pPr>
              <w:pStyle w:val="12"/>
            </w:pPr>
            <w:r>
              <w:t>播放完成时间</w:t>
            </w:r>
          </w:p>
        </w:tc>
        <w:tc>
          <w:tcPr>
            <w:tcW w:w="2551" w:type="dxa"/>
            <w:vAlign w:val="center"/>
          </w:tcPr>
          <w:p>
            <w:pPr>
              <w:pStyle w:val="12"/>
            </w:pPr>
            <w:r>
              <w:t>2025年12月31日前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视频制作完成时间</w:t>
            </w:r>
          </w:p>
        </w:tc>
        <w:tc>
          <w:tcPr>
            <w:tcW w:w="3430" w:type="dxa"/>
            <w:vAlign w:val="center"/>
          </w:tcPr>
          <w:p>
            <w:pPr>
              <w:pStyle w:val="12"/>
            </w:pPr>
            <w:r>
              <w:t>视频制作完成时间</w:t>
            </w:r>
          </w:p>
        </w:tc>
        <w:tc>
          <w:tcPr>
            <w:tcW w:w="2551" w:type="dxa"/>
            <w:vAlign w:val="center"/>
          </w:tcPr>
          <w:p>
            <w:pPr>
              <w:pStyle w:val="12"/>
            </w:pPr>
            <w:r>
              <w:t>2025年1月31日前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活动完成时间</w:t>
            </w:r>
          </w:p>
        </w:tc>
        <w:tc>
          <w:tcPr>
            <w:tcW w:w="3430" w:type="dxa"/>
            <w:vAlign w:val="center"/>
          </w:tcPr>
          <w:p>
            <w:pPr>
              <w:pStyle w:val="12"/>
            </w:pPr>
            <w:r>
              <w:t>活动完成时间</w:t>
            </w:r>
          </w:p>
        </w:tc>
        <w:tc>
          <w:tcPr>
            <w:tcW w:w="2551" w:type="dxa"/>
            <w:vAlign w:val="center"/>
          </w:tcPr>
          <w:p>
            <w:pPr>
              <w:pStyle w:val="12"/>
            </w:pPr>
            <w:r>
              <w:t>2025年12月31日前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投放广告成本</w:t>
            </w:r>
          </w:p>
        </w:tc>
        <w:tc>
          <w:tcPr>
            <w:tcW w:w="3430" w:type="dxa"/>
            <w:vAlign w:val="center"/>
          </w:tcPr>
          <w:p>
            <w:pPr>
              <w:pStyle w:val="12"/>
            </w:pPr>
            <w:r>
              <w:t>投放广告成本</w:t>
            </w:r>
          </w:p>
        </w:tc>
        <w:tc>
          <w:tcPr>
            <w:tcW w:w="2551" w:type="dxa"/>
            <w:vAlign w:val="center"/>
          </w:tcPr>
          <w:p>
            <w:pPr>
              <w:pStyle w:val="12"/>
            </w:pPr>
            <w:r>
              <w:t>≤185万元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视频制作成本</w:t>
            </w:r>
          </w:p>
        </w:tc>
        <w:tc>
          <w:tcPr>
            <w:tcW w:w="3430" w:type="dxa"/>
            <w:vAlign w:val="center"/>
          </w:tcPr>
          <w:p>
            <w:pPr>
              <w:pStyle w:val="12"/>
            </w:pPr>
            <w:r>
              <w:t>视频制作成本</w:t>
            </w:r>
          </w:p>
        </w:tc>
        <w:tc>
          <w:tcPr>
            <w:tcW w:w="2551" w:type="dxa"/>
            <w:vAlign w:val="center"/>
          </w:tcPr>
          <w:p>
            <w:pPr>
              <w:pStyle w:val="12"/>
            </w:pPr>
            <w:r>
              <w:t>≤8万元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活动组织成本</w:t>
            </w:r>
          </w:p>
        </w:tc>
        <w:tc>
          <w:tcPr>
            <w:tcW w:w="3430" w:type="dxa"/>
            <w:vAlign w:val="center"/>
          </w:tcPr>
          <w:p>
            <w:pPr>
              <w:pStyle w:val="12"/>
            </w:pPr>
            <w:r>
              <w:t>活动组织成本</w:t>
            </w:r>
          </w:p>
        </w:tc>
        <w:tc>
          <w:tcPr>
            <w:tcW w:w="2551" w:type="dxa"/>
            <w:vAlign w:val="center"/>
          </w:tcPr>
          <w:p>
            <w:pPr>
              <w:pStyle w:val="12"/>
            </w:pPr>
            <w:r>
              <w:t>≤52万元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提升天津非遗知名度</w:t>
            </w:r>
          </w:p>
        </w:tc>
        <w:tc>
          <w:tcPr>
            <w:tcW w:w="3430" w:type="dxa"/>
            <w:vAlign w:val="center"/>
          </w:tcPr>
          <w:p>
            <w:pPr>
              <w:pStyle w:val="12"/>
            </w:pPr>
            <w:r>
              <w:t>提升天津非遗知名度</w:t>
            </w:r>
          </w:p>
        </w:tc>
        <w:tc>
          <w:tcPr>
            <w:tcW w:w="2551" w:type="dxa"/>
            <w:vAlign w:val="center"/>
          </w:tcPr>
          <w:p>
            <w:pPr>
              <w:pStyle w:val="12"/>
            </w:pPr>
            <w:r>
              <w:t>有效提高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观众满意度</w:t>
            </w:r>
          </w:p>
        </w:tc>
        <w:tc>
          <w:tcPr>
            <w:tcW w:w="3430" w:type="dxa"/>
            <w:vAlign w:val="center"/>
          </w:tcPr>
          <w:p>
            <w:pPr>
              <w:pStyle w:val="12"/>
            </w:pPr>
            <w:r>
              <w:t>观众满意度</w:t>
            </w:r>
          </w:p>
        </w:tc>
        <w:tc>
          <w:tcPr>
            <w:tcW w:w="2551" w:type="dxa"/>
            <w:vAlign w:val="center"/>
          </w:tcPr>
          <w:p>
            <w:pPr>
              <w:pStyle w:val="12"/>
            </w:pPr>
            <w:r>
              <w:t>≥95%</w:t>
            </w:r>
          </w:p>
        </w:tc>
      </w:tr>
    </w:tbl>
    <w:p>
      <w:pPr>
        <w:sectPr>
          <w:pgSz w:w="11900" w:h="16840"/>
          <w:pgMar w:top="1984" w:right="1304" w:bottom="1134" w:left="1304" w:header="720" w:footer="720" w:gutter="0"/>
          <w:cols w:space="720" w:num="1"/>
        </w:sectPr>
      </w:pPr>
    </w:p>
    <w:p>
      <w:pPr>
        <w:jc w:val="center"/>
      </w:pPr>
    </w:p>
    <w:p>
      <w:pPr>
        <w:ind w:firstLine="560"/>
        <w:outlineLvl w:val="3"/>
      </w:pPr>
      <w:bookmarkStart w:id="13" w:name="_Toc_4_4_0000000161"/>
      <w:r>
        <w:rPr>
          <w:rFonts w:ascii="方正仿宋_GBK" w:hAnsi="方正仿宋_GBK" w:eastAsia="方正仿宋_GBK" w:cs="方正仿宋_GBK"/>
          <w:sz w:val="28"/>
        </w:rPr>
        <w:t>1</w:t>
      </w:r>
      <w:r>
        <w:rPr>
          <w:rFonts w:hint="eastAsia" w:ascii="方正仿宋_GBK" w:hAnsi="方正仿宋_GBK" w:eastAsia="方正仿宋_GBK" w:cs="方正仿宋_GBK"/>
          <w:sz w:val="28"/>
          <w:lang w:val="en-US" w:eastAsia="zh-CN"/>
        </w:rPr>
        <w:t>4</w:t>
      </w:r>
      <w:r>
        <w:rPr>
          <w:rFonts w:ascii="方正仿宋_GBK" w:hAnsi="方正仿宋_GBK" w:eastAsia="方正仿宋_GBK" w:cs="方正仿宋_GBK"/>
          <w:sz w:val="28"/>
        </w:rPr>
        <w:t>.文旅宣传-文化进万家——视频直播家乡年绩效目标表</w:t>
      </w:r>
      <w:bookmarkEnd w:id="13"/>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文旅宣传-文化进万家——视频直播家乡年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10.00</w:t>
            </w:r>
          </w:p>
        </w:tc>
        <w:tc>
          <w:tcPr>
            <w:tcW w:w="1587" w:type="dxa"/>
            <w:vAlign w:val="center"/>
          </w:tcPr>
          <w:p>
            <w:pPr>
              <w:pStyle w:val="13"/>
            </w:pPr>
            <w:r>
              <w:t>其中：财政    资金</w:t>
            </w:r>
          </w:p>
        </w:tc>
        <w:tc>
          <w:tcPr>
            <w:tcW w:w="1843" w:type="dxa"/>
            <w:vAlign w:val="center"/>
          </w:tcPr>
          <w:p>
            <w:pPr>
              <w:pStyle w:val="12"/>
            </w:pPr>
            <w:r>
              <w:t>10.00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支付项目活动经费。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镜头记录年俗非遗传承实践活动，集中展播非遗年俗视频，传承弘扬中华优秀传统文化，加深人民群众的文化参与感、获得感和认同感，在“云端”感受欢乐喜庆的中国年氛围，不断丰富传统节日的文化内涵，推进文化自信自强。</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拍摄短视频数量</w:t>
            </w:r>
          </w:p>
        </w:tc>
        <w:tc>
          <w:tcPr>
            <w:tcW w:w="3430" w:type="dxa"/>
            <w:vAlign w:val="center"/>
          </w:tcPr>
          <w:p>
            <w:pPr>
              <w:pStyle w:val="12"/>
            </w:pPr>
            <w:r>
              <w:t>拍摄短视频数量</w:t>
            </w:r>
          </w:p>
        </w:tc>
        <w:tc>
          <w:tcPr>
            <w:tcW w:w="2551" w:type="dxa"/>
            <w:vAlign w:val="center"/>
          </w:tcPr>
          <w:p>
            <w:pPr>
              <w:pStyle w:val="12"/>
            </w:pPr>
            <w:r>
              <w:t>≥8个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短视频总播放量</w:t>
            </w:r>
          </w:p>
        </w:tc>
        <w:tc>
          <w:tcPr>
            <w:tcW w:w="3430" w:type="dxa"/>
            <w:vAlign w:val="center"/>
          </w:tcPr>
          <w:p>
            <w:pPr>
              <w:pStyle w:val="12"/>
            </w:pPr>
            <w:r>
              <w:t>短视频总播放量</w:t>
            </w:r>
          </w:p>
        </w:tc>
        <w:tc>
          <w:tcPr>
            <w:tcW w:w="2551" w:type="dxa"/>
            <w:vAlign w:val="center"/>
          </w:tcPr>
          <w:p>
            <w:pPr>
              <w:pStyle w:val="12"/>
            </w:pPr>
            <w:r>
              <w:t>≥10000次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短视频拍摄质量达标率</w:t>
            </w:r>
          </w:p>
        </w:tc>
        <w:tc>
          <w:tcPr>
            <w:tcW w:w="3430" w:type="dxa"/>
            <w:vAlign w:val="center"/>
          </w:tcPr>
          <w:p>
            <w:pPr>
              <w:pStyle w:val="12"/>
            </w:pPr>
            <w:r>
              <w:t>短视频拍摄质量达标率</w:t>
            </w:r>
          </w:p>
        </w:tc>
        <w:tc>
          <w:tcPr>
            <w:tcW w:w="2551" w:type="dxa"/>
            <w:vAlign w:val="center"/>
          </w:tcPr>
          <w:p>
            <w:pPr>
              <w:pStyle w:val="12"/>
            </w:pPr>
            <w:r>
              <w:t>≥90%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活动开展时间</w:t>
            </w:r>
          </w:p>
        </w:tc>
        <w:tc>
          <w:tcPr>
            <w:tcW w:w="3430" w:type="dxa"/>
            <w:vAlign w:val="center"/>
          </w:tcPr>
          <w:p>
            <w:pPr>
              <w:pStyle w:val="12"/>
            </w:pPr>
            <w:r>
              <w:t>活动开展时间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制作短视频时长</w:t>
            </w:r>
          </w:p>
        </w:tc>
        <w:tc>
          <w:tcPr>
            <w:tcW w:w="3430" w:type="dxa"/>
            <w:vAlign w:val="center"/>
          </w:tcPr>
          <w:p>
            <w:pPr>
              <w:pStyle w:val="12"/>
            </w:pPr>
            <w:r>
              <w:t>制作短视频时长</w:t>
            </w:r>
          </w:p>
        </w:tc>
        <w:tc>
          <w:tcPr>
            <w:tcW w:w="2551" w:type="dxa"/>
            <w:vAlign w:val="center"/>
          </w:tcPr>
          <w:p>
            <w:pPr>
              <w:pStyle w:val="12"/>
            </w:pPr>
            <w:r>
              <w:t>≥30秒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拍摄经费</w:t>
            </w:r>
          </w:p>
        </w:tc>
        <w:tc>
          <w:tcPr>
            <w:tcW w:w="3430" w:type="dxa"/>
            <w:vAlign w:val="center"/>
          </w:tcPr>
          <w:p>
            <w:pPr>
              <w:pStyle w:val="12"/>
            </w:pPr>
            <w:r>
              <w:t>拍摄经费</w:t>
            </w:r>
          </w:p>
        </w:tc>
        <w:tc>
          <w:tcPr>
            <w:tcW w:w="2551" w:type="dxa"/>
            <w:vAlign w:val="center"/>
          </w:tcPr>
          <w:p>
            <w:pPr>
              <w:pStyle w:val="12"/>
            </w:pPr>
            <w:r>
              <w:t>≤8万元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宣传费用</w:t>
            </w:r>
          </w:p>
        </w:tc>
        <w:tc>
          <w:tcPr>
            <w:tcW w:w="3430" w:type="dxa"/>
            <w:vAlign w:val="center"/>
          </w:tcPr>
          <w:p>
            <w:pPr>
              <w:pStyle w:val="12"/>
            </w:pPr>
            <w:r>
              <w:t>宣传费用</w:t>
            </w:r>
          </w:p>
        </w:tc>
        <w:tc>
          <w:tcPr>
            <w:tcW w:w="2551" w:type="dxa"/>
            <w:vAlign w:val="center"/>
          </w:tcPr>
          <w:p>
            <w:pPr>
              <w:pStyle w:val="12"/>
            </w:pPr>
            <w:r>
              <w:t>≤1万元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其他费用</w:t>
            </w:r>
          </w:p>
        </w:tc>
        <w:tc>
          <w:tcPr>
            <w:tcW w:w="3430" w:type="dxa"/>
            <w:vAlign w:val="center"/>
          </w:tcPr>
          <w:p>
            <w:pPr>
              <w:pStyle w:val="12"/>
            </w:pPr>
            <w:r>
              <w:t>其他费用</w:t>
            </w:r>
          </w:p>
        </w:tc>
        <w:tc>
          <w:tcPr>
            <w:tcW w:w="2551" w:type="dxa"/>
            <w:vAlign w:val="center"/>
          </w:tcPr>
          <w:p>
            <w:pPr>
              <w:pStyle w:val="12"/>
            </w:pPr>
            <w:r>
              <w:t>≤1万元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营造欢庆祥和的过年氛围</w:t>
            </w:r>
          </w:p>
        </w:tc>
        <w:tc>
          <w:tcPr>
            <w:tcW w:w="3430" w:type="dxa"/>
            <w:vAlign w:val="center"/>
          </w:tcPr>
          <w:p>
            <w:pPr>
              <w:pStyle w:val="12"/>
            </w:pPr>
            <w:r>
              <w:t>营造欢庆祥和的过年氛围</w:t>
            </w:r>
          </w:p>
        </w:tc>
        <w:tc>
          <w:tcPr>
            <w:tcW w:w="2551" w:type="dxa"/>
            <w:vAlign w:val="center"/>
          </w:tcPr>
          <w:p>
            <w:pPr>
              <w:pStyle w:val="12"/>
            </w:pPr>
            <w:r>
              <w:t>进一步营造</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视频观看者满意度</w:t>
            </w:r>
          </w:p>
        </w:tc>
        <w:tc>
          <w:tcPr>
            <w:tcW w:w="3430" w:type="dxa"/>
            <w:vAlign w:val="center"/>
          </w:tcPr>
          <w:p>
            <w:pPr>
              <w:pStyle w:val="12"/>
            </w:pPr>
            <w:r>
              <w:t>视频观看者满意度</w:t>
            </w:r>
          </w:p>
        </w:tc>
        <w:tc>
          <w:tcPr>
            <w:tcW w:w="2551" w:type="dxa"/>
            <w:vAlign w:val="center"/>
          </w:tcPr>
          <w:p>
            <w:pPr>
              <w:pStyle w:val="12"/>
            </w:pPr>
            <w:r>
              <w:t>≥90%</w:t>
            </w:r>
          </w:p>
        </w:tc>
      </w:tr>
    </w:tbl>
    <w:p>
      <w:pPr>
        <w:sectPr>
          <w:pgSz w:w="11900" w:h="16840"/>
          <w:pgMar w:top="1984" w:right="1304" w:bottom="1134" w:left="1304" w:header="720" w:footer="720" w:gutter="0"/>
          <w:cols w:space="720" w:num="1"/>
        </w:sectPr>
      </w:pPr>
    </w:p>
    <w:p>
      <w:pPr>
        <w:jc w:val="center"/>
      </w:pPr>
    </w:p>
    <w:p>
      <w:pPr>
        <w:ind w:firstLine="560"/>
        <w:outlineLvl w:val="3"/>
      </w:pPr>
      <w:bookmarkStart w:id="14" w:name="_Toc_4_4_0000000162"/>
      <w:r>
        <w:rPr>
          <w:rFonts w:ascii="方正仿宋_GBK" w:hAnsi="方正仿宋_GBK" w:eastAsia="方正仿宋_GBK" w:cs="方正仿宋_GBK"/>
          <w:sz w:val="28"/>
        </w:rPr>
        <w:t>15.援疆非遗展等参展项目绩效目标表</w:t>
      </w:r>
      <w:bookmarkEnd w:id="14"/>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843"/>
        <w:gridCol w:w="1276"/>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589" w:type="dxa"/>
            <w:gridSpan w:val="6"/>
            <w:tcBorders>
              <w:top w:val="single" w:color="FFFFFF" w:sz="6" w:space="0"/>
              <w:left w:val="single" w:color="FFFFFF" w:sz="6" w:space="0"/>
              <w:right w:val="single" w:color="FFFFFF" w:sz="6" w:space="0"/>
            </w:tcBorders>
            <w:vAlign w:val="center"/>
          </w:tcPr>
          <w:p>
            <w:pPr>
              <w:pStyle w:val="11"/>
            </w:pPr>
            <w:r>
              <w:t>363209天津市艺术研究所</w:t>
            </w:r>
          </w:p>
        </w:tc>
        <w:tc>
          <w:tcPr>
            <w:tcW w:w="1276" w:type="dxa"/>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项目名称</w:t>
            </w:r>
          </w:p>
        </w:tc>
        <w:tc>
          <w:tcPr>
            <w:tcW w:w="8589" w:type="dxa"/>
            <w:gridSpan w:val="6"/>
            <w:vAlign w:val="center"/>
          </w:tcPr>
          <w:p>
            <w:pPr>
              <w:pStyle w:val="12"/>
            </w:pPr>
            <w:r>
              <w:t>援疆非遗展等参展项目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1276" w:type="dxa"/>
            <w:vAlign w:val="center"/>
          </w:tcPr>
          <w:p>
            <w:pPr>
              <w:pStyle w:val="13"/>
            </w:pPr>
            <w:r>
              <w:t>预算数</w:t>
            </w:r>
          </w:p>
        </w:tc>
        <w:tc>
          <w:tcPr>
            <w:tcW w:w="1332" w:type="dxa"/>
            <w:vAlign w:val="center"/>
          </w:tcPr>
          <w:p>
            <w:pPr>
              <w:pStyle w:val="12"/>
            </w:pPr>
            <w:r>
              <w:t>15.00</w:t>
            </w:r>
          </w:p>
        </w:tc>
        <w:tc>
          <w:tcPr>
            <w:tcW w:w="1587" w:type="dxa"/>
            <w:vAlign w:val="center"/>
          </w:tcPr>
          <w:p>
            <w:pPr>
              <w:pStyle w:val="13"/>
            </w:pPr>
            <w:r>
              <w:t>其中：财政    资金</w:t>
            </w:r>
          </w:p>
        </w:tc>
        <w:tc>
          <w:tcPr>
            <w:tcW w:w="1843" w:type="dxa"/>
            <w:vAlign w:val="center"/>
          </w:tcPr>
          <w:p>
            <w:pPr>
              <w:pStyle w:val="12"/>
            </w:pPr>
            <w:r>
              <w:t>15.00</w:t>
            </w:r>
          </w:p>
        </w:tc>
        <w:tc>
          <w:tcPr>
            <w:tcW w:w="1276" w:type="dxa"/>
            <w:vAlign w:val="center"/>
          </w:tcPr>
          <w:p>
            <w:pPr>
              <w:pStyle w:val="13"/>
            </w:pPr>
            <w:r>
              <w:t>其他资金</w:t>
            </w:r>
          </w:p>
        </w:tc>
        <w:tc>
          <w:tcPr>
            <w:tcW w:w="1276" w:type="dxa"/>
            <w:vAlign w:val="center"/>
          </w:tcPr>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8589" w:type="dxa"/>
            <w:gridSpan w:val="6"/>
            <w:vAlign w:val="center"/>
          </w:tcPr>
          <w:p>
            <w:pPr>
              <w:pStyle w:val="12"/>
            </w:pPr>
            <w:r>
              <w:t>支付参加各项展览的费用</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8589" w:type="dxa"/>
            <w:gridSpan w:val="6"/>
            <w:vAlign w:val="center"/>
          </w:tcPr>
          <w:p>
            <w:pPr>
              <w:pStyle w:val="12"/>
            </w:pPr>
            <w:r>
              <w:t>1.通过参加各地非遗展，多层次、全方位、立体式展示天津市非遗保护成果，加强推动中华优秀传统文化创造性转化、创新性发展,促进各民族广泛交往、全面交流、深度交融,构建各民族共有精神家园。</w:t>
            </w:r>
          </w:p>
        </w:tc>
      </w:tr>
    </w:tbl>
    <w:p>
      <w:pPr>
        <w:spacing w:line="2" w:lineRule="exact"/>
        <w:jc w:val="cente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3430"/>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1276" w:type="dxa"/>
            <w:vAlign w:val="center"/>
          </w:tcPr>
          <w:p>
            <w:pPr>
              <w:pStyle w:val="13"/>
            </w:pPr>
            <w:r>
              <w:t>二级指标</w:t>
            </w:r>
          </w:p>
        </w:tc>
        <w:tc>
          <w:tcPr>
            <w:tcW w:w="1332" w:type="dxa"/>
            <w:vAlign w:val="center"/>
          </w:tcPr>
          <w:p>
            <w:pPr>
              <w:pStyle w:val="13"/>
            </w:pPr>
            <w:r>
              <w:t>三级指标</w:t>
            </w:r>
          </w:p>
        </w:tc>
        <w:tc>
          <w:tcPr>
            <w:tcW w:w="3430" w:type="dxa"/>
            <w:vAlign w:val="center"/>
          </w:tcPr>
          <w:p>
            <w:pPr>
              <w:pStyle w:val="13"/>
            </w:pPr>
            <w:r>
              <w:t>绩效指标描述</w:t>
            </w:r>
          </w:p>
        </w:tc>
        <w:tc>
          <w:tcPr>
            <w:tcW w:w="2551" w:type="dxa"/>
            <w:vAlign w:val="center"/>
          </w:tcPr>
          <w:p>
            <w:pPr>
              <w:pStyle w:val="13"/>
            </w:pPr>
            <w:r>
              <w:t>指标值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4"/>
            </w:pPr>
            <w:r>
              <w:t>产出指标</w:t>
            </w:r>
          </w:p>
        </w:tc>
        <w:tc>
          <w:tcPr>
            <w:tcW w:w="1276" w:type="dxa"/>
            <w:vAlign w:val="center"/>
          </w:tcPr>
          <w:p>
            <w:pPr>
              <w:pStyle w:val="12"/>
            </w:pPr>
            <w:r>
              <w:t>数量指标</w:t>
            </w:r>
          </w:p>
        </w:tc>
        <w:tc>
          <w:tcPr>
            <w:tcW w:w="1332" w:type="dxa"/>
            <w:vAlign w:val="center"/>
          </w:tcPr>
          <w:p>
            <w:pPr>
              <w:pStyle w:val="12"/>
            </w:pPr>
            <w:r>
              <w:t>参与非遗展数量</w:t>
            </w:r>
          </w:p>
        </w:tc>
        <w:tc>
          <w:tcPr>
            <w:tcW w:w="3430" w:type="dxa"/>
            <w:vAlign w:val="center"/>
          </w:tcPr>
          <w:p>
            <w:pPr>
              <w:pStyle w:val="12"/>
            </w:pPr>
            <w:r>
              <w:t>参与非遗展数量</w:t>
            </w:r>
          </w:p>
        </w:tc>
        <w:tc>
          <w:tcPr>
            <w:tcW w:w="2551" w:type="dxa"/>
            <w:vAlign w:val="center"/>
          </w:tcPr>
          <w:p>
            <w:pPr>
              <w:pStyle w:val="12"/>
            </w:pPr>
            <w:r>
              <w:t>≥2次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数量指标</w:t>
            </w:r>
          </w:p>
        </w:tc>
        <w:tc>
          <w:tcPr>
            <w:tcW w:w="1332" w:type="dxa"/>
            <w:vAlign w:val="center"/>
          </w:tcPr>
          <w:p>
            <w:pPr>
              <w:pStyle w:val="12"/>
            </w:pPr>
            <w:r>
              <w:t>参加活动的非遗项目数量</w:t>
            </w:r>
          </w:p>
        </w:tc>
        <w:tc>
          <w:tcPr>
            <w:tcW w:w="3430" w:type="dxa"/>
            <w:vAlign w:val="center"/>
          </w:tcPr>
          <w:p>
            <w:pPr>
              <w:pStyle w:val="12"/>
            </w:pPr>
            <w:r>
              <w:t>参加活动的非遗项目数量</w:t>
            </w:r>
          </w:p>
        </w:tc>
        <w:tc>
          <w:tcPr>
            <w:tcW w:w="2551" w:type="dxa"/>
            <w:vAlign w:val="center"/>
          </w:tcPr>
          <w:p>
            <w:pPr>
              <w:pStyle w:val="12"/>
            </w:pPr>
            <w:r>
              <w:t>≥4个</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质量指标</w:t>
            </w:r>
          </w:p>
        </w:tc>
        <w:tc>
          <w:tcPr>
            <w:tcW w:w="1332" w:type="dxa"/>
            <w:vAlign w:val="center"/>
          </w:tcPr>
          <w:p>
            <w:pPr>
              <w:pStyle w:val="12"/>
            </w:pPr>
            <w:r>
              <w:t>市级以上非遗项目参展率</w:t>
            </w:r>
          </w:p>
        </w:tc>
        <w:tc>
          <w:tcPr>
            <w:tcW w:w="3430" w:type="dxa"/>
            <w:vAlign w:val="center"/>
          </w:tcPr>
          <w:p>
            <w:pPr>
              <w:pStyle w:val="12"/>
            </w:pPr>
            <w:r>
              <w:t>市级以上非遗项目参展率</w:t>
            </w:r>
          </w:p>
        </w:tc>
        <w:tc>
          <w:tcPr>
            <w:tcW w:w="2551" w:type="dxa"/>
            <w:vAlign w:val="center"/>
          </w:tcPr>
          <w:p>
            <w:pPr>
              <w:pStyle w:val="12"/>
            </w:pPr>
            <w:r>
              <w:t>≥70%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时效指标</w:t>
            </w:r>
          </w:p>
        </w:tc>
        <w:tc>
          <w:tcPr>
            <w:tcW w:w="1332" w:type="dxa"/>
            <w:vAlign w:val="center"/>
          </w:tcPr>
          <w:p>
            <w:pPr>
              <w:pStyle w:val="12"/>
            </w:pPr>
            <w:r>
              <w:t>参展完成时间</w:t>
            </w:r>
          </w:p>
        </w:tc>
        <w:tc>
          <w:tcPr>
            <w:tcW w:w="3430" w:type="dxa"/>
            <w:vAlign w:val="center"/>
          </w:tcPr>
          <w:p>
            <w:pPr>
              <w:pStyle w:val="12"/>
            </w:pPr>
            <w:r>
              <w:t>参展完成时间</w:t>
            </w:r>
          </w:p>
        </w:tc>
        <w:tc>
          <w:tcPr>
            <w:tcW w:w="2551" w:type="dxa"/>
            <w:vAlign w:val="center"/>
          </w:tcPr>
          <w:p>
            <w:pPr>
              <w:pStyle w:val="12"/>
            </w:pPr>
            <w:r>
              <w:t>2025年12月底前</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交通、住宿保险等相关经费</w:t>
            </w:r>
          </w:p>
        </w:tc>
        <w:tc>
          <w:tcPr>
            <w:tcW w:w="3430" w:type="dxa"/>
            <w:vAlign w:val="center"/>
          </w:tcPr>
          <w:p>
            <w:pPr>
              <w:pStyle w:val="12"/>
            </w:pPr>
            <w:r>
              <w:t>交通、住宿保险等相关经费</w:t>
            </w:r>
          </w:p>
        </w:tc>
        <w:tc>
          <w:tcPr>
            <w:tcW w:w="2551" w:type="dxa"/>
            <w:vAlign w:val="center"/>
          </w:tcPr>
          <w:p>
            <w:pPr>
              <w:pStyle w:val="12"/>
            </w:pPr>
            <w:r>
              <w:t>≤7.3万元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tc>
        <w:tc>
          <w:tcPr>
            <w:tcW w:w="1276" w:type="dxa"/>
            <w:vAlign w:val="center"/>
          </w:tcPr>
          <w:p>
            <w:pPr>
              <w:pStyle w:val="12"/>
            </w:pPr>
            <w:r>
              <w:t>成本指标</w:t>
            </w:r>
          </w:p>
        </w:tc>
        <w:tc>
          <w:tcPr>
            <w:tcW w:w="1332" w:type="dxa"/>
            <w:vAlign w:val="center"/>
          </w:tcPr>
          <w:p>
            <w:pPr>
              <w:pStyle w:val="12"/>
            </w:pPr>
            <w:r>
              <w:t>展览设计、施工相关经费</w:t>
            </w:r>
          </w:p>
        </w:tc>
        <w:tc>
          <w:tcPr>
            <w:tcW w:w="3430" w:type="dxa"/>
            <w:vAlign w:val="center"/>
          </w:tcPr>
          <w:p>
            <w:pPr>
              <w:pStyle w:val="12"/>
            </w:pPr>
            <w:r>
              <w:t>展览设计、施工相关经费</w:t>
            </w:r>
          </w:p>
        </w:tc>
        <w:tc>
          <w:tcPr>
            <w:tcW w:w="2551" w:type="dxa"/>
            <w:vAlign w:val="center"/>
          </w:tcPr>
          <w:p>
            <w:pPr>
              <w:pStyle w:val="12"/>
            </w:pPr>
            <w:r>
              <w:t>≤7.7万元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效益指标</w:t>
            </w:r>
          </w:p>
        </w:tc>
        <w:tc>
          <w:tcPr>
            <w:tcW w:w="1276" w:type="dxa"/>
            <w:vAlign w:val="center"/>
          </w:tcPr>
          <w:p>
            <w:pPr>
              <w:pStyle w:val="12"/>
            </w:pPr>
            <w:r>
              <w:t>社会效益指标</w:t>
            </w:r>
          </w:p>
        </w:tc>
        <w:tc>
          <w:tcPr>
            <w:tcW w:w="1332" w:type="dxa"/>
            <w:vAlign w:val="center"/>
          </w:tcPr>
          <w:p>
            <w:pPr>
              <w:pStyle w:val="12"/>
            </w:pPr>
            <w:r>
              <w:t>促进各民族广泛交往、全面交流、深度交融</w:t>
            </w:r>
          </w:p>
        </w:tc>
        <w:tc>
          <w:tcPr>
            <w:tcW w:w="3430" w:type="dxa"/>
            <w:vAlign w:val="center"/>
          </w:tcPr>
          <w:p>
            <w:pPr>
              <w:pStyle w:val="12"/>
            </w:pPr>
            <w:r>
              <w:t>促进各民族广泛交往、全面交流、深度交融</w:t>
            </w:r>
          </w:p>
        </w:tc>
        <w:tc>
          <w:tcPr>
            <w:tcW w:w="2551" w:type="dxa"/>
            <w:vAlign w:val="center"/>
          </w:tcPr>
          <w:p>
            <w:pPr>
              <w:pStyle w:val="12"/>
            </w:pPr>
            <w:r>
              <w:t>进一步促进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4"/>
            </w:pPr>
            <w:r>
              <w:t>满意度指标</w:t>
            </w:r>
          </w:p>
        </w:tc>
        <w:tc>
          <w:tcPr>
            <w:tcW w:w="1276" w:type="dxa"/>
            <w:vAlign w:val="center"/>
          </w:tcPr>
          <w:p>
            <w:pPr>
              <w:pStyle w:val="12"/>
            </w:pPr>
            <w:r>
              <w:t>服务对象满意度指标</w:t>
            </w:r>
          </w:p>
        </w:tc>
        <w:tc>
          <w:tcPr>
            <w:tcW w:w="1332" w:type="dxa"/>
            <w:vAlign w:val="center"/>
          </w:tcPr>
          <w:p>
            <w:pPr>
              <w:pStyle w:val="12"/>
            </w:pPr>
            <w:r>
              <w:t xml:space="preserve"> 参展人员满意度</w:t>
            </w:r>
          </w:p>
        </w:tc>
        <w:tc>
          <w:tcPr>
            <w:tcW w:w="3430" w:type="dxa"/>
            <w:vAlign w:val="center"/>
          </w:tcPr>
          <w:p>
            <w:pPr>
              <w:pStyle w:val="12"/>
            </w:pPr>
            <w:r>
              <w:t xml:space="preserve"> 参展人员满意度</w:t>
            </w:r>
          </w:p>
        </w:tc>
        <w:tc>
          <w:tcPr>
            <w:tcW w:w="2551" w:type="dxa"/>
            <w:vAlign w:val="center"/>
          </w:tcPr>
          <w:p>
            <w:pPr>
              <w:pStyle w:val="12"/>
            </w:pPr>
            <w:r>
              <w:t>≥95%</w:t>
            </w:r>
          </w:p>
        </w:tc>
      </w:tr>
    </w:tbl>
    <w:p>
      <w:pPr>
        <w:jc w:val="center"/>
      </w:pPr>
    </w:p>
    <w:p/>
    <w:sectPr>
      <w:pgSz w:w="11900" w:h="16840"/>
      <w:pgMar w:top="1984" w:right="1304" w:bottom="1134" w:left="1304"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方正仿宋_GBK">
    <w:panose1 w:val="02000000000000000000"/>
    <w:charset w:val="86"/>
    <w:family w:val="roman"/>
    <w:pitch w:val="default"/>
    <w:sig w:usb0="00000001" w:usb1="08000000" w:usb2="00000000" w:usb3="00000000" w:csb0="00040000" w:csb1="00000000"/>
  </w:font>
  <w:font w:name="方正书宋_GBK">
    <w:panose1 w:val="02000000000000000000"/>
    <w:charset w:val="86"/>
    <w:family w:val="roman"/>
    <w:pitch w:val="default"/>
    <w:sig w:usb0="00000001" w:usb1="08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NotTrackMoves/>
  <w:documentProtection w:enforcement="0"/>
  <w:defaultTabStop w:val="720"/>
  <w:evenAndOddHeaders w:val="true"/>
  <w:characterSpacingControl w:val="doNotCompress"/>
  <w:compat>
    <w:doNotLeaveBackslashAlone/>
    <w:doNotExpandShiftReturn/>
    <w:adjustLineHeightInTable/>
    <w:useFELayout/>
    <w:compatSetting w:name="compatibilityMode" w:uri="http://schemas.microsoft.com/office/word" w:val="12"/>
  </w:compat>
  <w:rsids>
    <w:rsidRoot w:val="005260E0"/>
    <w:rsid w:val="001E0C7F"/>
    <w:rsid w:val="005260E0"/>
    <w:rsid w:val="008E62B9"/>
    <w:rsid w:val="00A0207B"/>
    <w:rsid w:val="00C37306"/>
    <w:rsid w:val="00D771D3"/>
    <w:rsid w:val="00F54D29"/>
    <w:rsid w:val="31C9640E"/>
    <w:rsid w:val="3DFEDE62"/>
    <w:rsid w:val="BEFFE7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9"/>
    <w:semiHidden/>
    <w:unhideWhenUsed/>
    <w:qFormat/>
    <w:uiPriority w:val="99"/>
    <w:pPr>
      <w:tabs>
        <w:tab w:val="center" w:pos="4153"/>
        <w:tab w:val="right" w:pos="8306"/>
      </w:tabs>
      <w:snapToGrid w:val="0"/>
    </w:pPr>
    <w:rPr>
      <w:sz w:val="18"/>
      <w:szCs w:val="18"/>
    </w:rPr>
  </w:style>
  <w:style w:type="paragraph" w:styleId="3">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插入文本样式-插入总体目标文件"/>
    <w:basedOn w:val="1"/>
    <w:qFormat/>
    <w:uiPriority w:val="0"/>
    <w:pPr>
      <w:spacing w:line="500" w:lineRule="exact"/>
      <w:ind w:firstLine="560"/>
    </w:pPr>
    <w:rPr>
      <w:rFonts w:eastAsia="方正仿宋_GBK"/>
      <w:sz w:val="28"/>
    </w:rPr>
  </w:style>
  <w:style w:type="paragraph" w:customStyle="1" w:styleId="8">
    <w:name w:val="插入文本样式-插入职责分类绩效目标文件"/>
    <w:basedOn w:val="1"/>
    <w:qFormat/>
    <w:uiPriority w:val="0"/>
    <w:pPr>
      <w:spacing w:line="500" w:lineRule="exact"/>
      <w:ind w:firstLine="560"/>
    </w:pPr>
    <w:rPr>
      <w:rFonts w:eastAsia="方正仿宋_GBK"/>
      <w:sz w:val="28"/>
    </w:rPr>
  </w:style>
  <w:style w:type="paragraph" w:customStyle="1" w:styleId="9">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10">
    <w:name w:val="单元格样式4"/>
    <w:basedOn w:val="1"/>
    <w:qFormat/>
    <w:uiPriority w:val="0"/>
    <w:pPr>
      <w:jc w:val="right"/>
    </w:pPr>
    <w:rPr>
      <w:rFonts w:ascii="方正书宋_GBK" w:hAnsi="方正书宋_GBK" w:eastAsia="方正书宋_GBK" w:cs="方正书宋_GBK"/>
      <w:sz w:val="21"/>
    </w:rPr>
  </w:style>
  <w:style w:type="paragraph" w:customStyle="1" w:styleId="11">
    <w:name w:val="单元格样式5"/>
    <w:basedOn w:val="1"/>
    <w:qFormat/>
    <w:uiPriority w:val="0"/>
    <w:rPr>
      <w:rFonts w:ascii="方正书宋_GBK" w:hAnsi="方正书宋_GBK" w:eastAsia="方正书宋_GBK" w:cs="方正书宋_GBK"/>
      <w:b/>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1"/>
    <w:basedOn w:val="1"/>
    <w:qFormat/>
    <w:uiPriority w:val="0"/>
    <w:pPr>
      <w:jc w:val="center"/>
    </w:pPr>
    <w:rPr>
      <w:rFonts w:ascii="方正书宋_GBK" w:hAnsi="方正书宋_GBK" w:eastAsia="方正书宋_GBK" w:cs="方正书宋_GBK"/>
      <w:b/>
      <w:sz w:val="21"/>
    </w:rPr>
  </w:style>
  <w:style w:type="paragraph" w:customStyle="1" w:styleId="14">
    <w:name w:val="单元格样式3"/>
    <w:basedOn w:val="1"/>
    <w:qFormat/>
    <w:uiPriority w:val="0"/>
    <w:pPr>
      <w:jc w:val="center"/>
    </w:pPr>
    <w:rPr>
      <w:rFonts w:ascii="方正书宋_GBK" w:hAnsi="方正书宋_GBK" w:eastAsia="方正书宋_GBK" w:cs="方正书宋_GBK"/>
      <w:sz w:val="21"/>
    </w:rPr>
  </w:style>
  <w:style w:type="paragraph" w:customStyle="1" w:styleId="15">
    <w:name w:val="目录 21"/>
    <w:basedOn w:val="1"/>
    <w:qFormat/>
    <w:uiPriority w:val="0"/>
    <w:pPr>
      <w:ind w:left="240"/>
    </w:pPr>
  </w:style>
  <w:style w:type="paragraph" w:customStyle="1" w:styleId="16">
    <w:name w:val="目录 41"/>
    <w:basedOn w:val="1"/>
    <w:qFormat/>
    <w:uiPriority w:val="0"/>
    <w:pPr>
      <w:ind w:left="720"/>
    </w:pPr>
  </w:style>
  <w:style w:type="paragraph" w:customStyle="1" w:styleId="17">
    <w:name w:val="目录 11"/>
    <w:basedOn w:val="1"/>
    <w:qFormat/>
    <w:uiPriority w:val="0"/>
    <w:pPr>
      <w:spacing w:before="120"/>
    </w:pPr>
    <w:rPr>
      <w:rFonts w:eastAsia="方正仿宋_GBK"/>
      <w:color w:val="000000"/>
      <w:sz w:val="28"/>
    </w:rPr>
  </w:style>
  <w:style w:type="character" w:customStyle="1" w:styleId="18">
    <w:name w:val="页眉 Char"/>
    <w:basedOn w:val="6"/>
    <w:link w:val="3"/>
    <w:semiHidden/>
    <w:qFormat/>
    <w:uiPriority w:val="99"/>
    <w:rPr>
      <w:rFonts w:eastAsia="Times New Roman"/>
      <w:sz w:val="18"/>
      <w:szCs w:val="18"/>
      <w:lang w:eastAsia="uk-UA"/>
    </w:rPr>
  </w:style>
  <w:style w:type="character" w:customStyle="1" w:styleId="1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19</Pages>
  <Words>11775</Words>
  <Characters>13305</Characters>
  <Lines>1452</Lines>
  <Paragraphs>409</Paragraphs>
  <TotalTime>0</TotalTime>
  <ScaleCrop>false</ScaleCrop>
  <LinksUpToDate>false</LinksUpToDate>
  <CharactersWithSpaces>17057</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2025-01-16T08:09:00Z</dcterms:created>
  <dc:creator>YSBS001</dc:creator>
  <cp:lastModifiedBy>kylin</cp:lastModifiedBy>
  <cp:lastPrinted>2025-02-06T17:50:00Z</cp:lastPrinted>
  <dcterms:modified xsi:type="dcterms:W3CDTF">2025-02-18T17:51:02Z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eyJoZGlkIjoiYzkzOTI5MzIzZmExZjA4NDVkNTc5NGQ4MTVjYTY5MjkiLCJ1c2VySWQiOiI1MzI3MjkwMjgifQ==</vt:lpwstr>
  </property>
  <property fmtid="{D5CDD505-2E9C-101B-9397-08002B2CF9AE}" pid="3" name="KSOProductBuildVer">
    <vt:lpwstr>2052-11.8.2.10229</vt:lpwstr>
  </property>
  <property fmtid="{D5CDD505-2E9C-101B-9397-08002B2CF9AE}" pid="4" name="ICV">
    <vt:lpwstr>CE09892ED7474C13919082CD41FDC80A_12</vt:lpwstr>
  </property>
</Properties>
</file>